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t xml:space="preserve">Processo Nº 0000011-48.2017.5.06.0161 Processo Nº 00011/2017-161-06-00.5 Exequente RENATO SEVERINO DA SILVA Advogado(a) REGILANE CRISTINA DA SILVA(OAB: 35039) Executado COOPERATIVA DA UNIAO DOS PROFISSIONAIS DO RAMO DE TRANSPORTE Advogado(a) JOELMA ALVES DOS ANJOS(OAB: 13684) O(A) Excelentíssimo(a) Senhor(a) Doutor(a) GILBERTO OLIVEIRA FREITAS , Juiz(íza) do Trabalho da VARA DO TRABALHO DE SAO LOURENCO DA MATA , na forma da lei, FAZ SABER a todos quantos este edital virem, ou dele tiverem conhecimento, que o leiloeiro abaixo indicado, devidamente autorizado por este juízo, promoverá a alienação, por ARREMATAÇÃO PÚBLICA, apenas na modalidade online(por força do Ato Conjunto TRT6-GP/GVP/GCR06/2020), a encerrar-se em sessão virtual a ser realizada no dia 3/2/2021 , às 09:00 (horário local) com transmissão em tempo real, disponível no site(2) de responsabilidade do leiloeiro designado, em primeiro leilão, do(s) bem(ns) abaixo especificados e penhorado(s) nos presentes autos, a quem oferecer maior lanço. Caso não haja licitante ou dê-se indeferimento do lanço vencedor, o(s) bem(ns) será(ão) alienado(s) em segundo leilão designado para encerrar-se em sessão virtual a ser realizada no dia 3/3/2021 no mesmo horário acima especificado, novamente pelo maior lanço ofertado, devendo o arrematante efetuar, com diligência, o pagamento dos valores integrais do lanço e da comissão do leiloeiro a titulo de 5% (cinco por cento) obtido sobre o valor da arrematação, na forma determinada pelo juízo competente, desde que, excepcionalmente, comprove todos os pagamentos devidos em até 5 dias úteis. O(s) bem(ns) penhorado(s) nos presentes autos poderá(ão) ser alienado(s) em primeira praça pelo lanço mínimo de 40% e em segunda praça pelo lanço mínimo de 20%, calculados sobre o valor da avaliação do(s) mesmo(s). Os percentuais de lanço mínimo não vinculam ou pressupõem o deferimento do lanço apresentado, ainda que superem o valor estabelecido. A oferta de lanços, exclusivamente eletrônicos, deverá observar o dispositivo normativo específico (Resolução Administrativa-026/2017) ou aquele que vier a substituí-lo ou reformá-lo. Descrição do bem: 1-UM TANQUE EXTERNO DE COMBUSTIVEIS, CILINDRICO, COM BASE DE APOIO, CONTENCAO DE VAZAMENTOS, CAPACIDADE PARA 25.000 LITROS, CONSTRUIDO EM CHAPA DE ACO REFORCADA, AUTORIZADO PELA ANP, LICENCIADO PELO CORPO DE BOMBEIROS, EM EXCELENTE ESTADO DE CONSERVACAO, INCLUI 02 BOMBAS COMPLETAS PARA ABASTECIMENTO, MARCA GILBARCO, FUNCIONANDO, ELETRO-MECANICAS, MARCADOR ANALOGICO, MANGUEIRAS E BICOS, BOM ESTADO DE CONSERVACAO.... R$ 70.000,00; 2-02(DOIS) CONTEINERES, COM COMPRIMENTOS DISTINTOS, SENDO UM COM 6 METROS DE COMPRIMENTO E OUTRO COM 4,5 METROS, E LARGURA PADRAO PINTADOS, RESTAURADOS, EM BOM ESTADO DE CONSERVACAO...R$ 15.000,00 3- UMA ESTRUTURA DE COBERTURA EM COLUNAS DE 6 METROS, DE FERRO, TRELICAS HORIZONTAIS EM FERRO, TELHAS DE ALUMINIO, COM AREA COBERTA DE 14 METROS POR 26 METROS, AVALIADO POR R$ 50.000,00 4- UM VEICULO AUTOMOTIVO, MARCA/MODELO VW KOMBI, PLACA KLA-8563, CHASSI- 9BWG6SO7X04P002118, ANO FAB/MOD 2003/2004, COR BRANCA, 09 LUGARES, REGULAR ESTADO DE CONSERVACAO, FUNCIONANDO. AVALIADO POR R$ 15.000,00; 5- UMA MOTOCICLETA MARCA MODELO HONDA NXR150 BROS EX, PLACA OYT-4967, CHASSI 9C2KD0650ER213991, ANO FABRICACAO/MODELO 2014/2014, COR PRETA, FLEX, FUNCIONANDO, REGUALAR ESTADO DE CONSERVACAO, AVALIADO POR R$ 6.500,00; 6) UM VEICULO AUTOMOTIVO, MARCA/MODELO CHEVROLET/ MONTANA LS, ANO FABRICACAO/MODELO 2012/2012, COR PRATA, PLACA PEW 7893, CHASSI 9B6CA80X0CB253052, FUNCIONANDO, EM REGULAR ESTADO DE CONSERVACAO, AVALIADO POR R$ 19.000,00. Localização do bem: ESTRADA DE ALDEIA, 100, sao pedro, camaragibe, PE, CEP:54786001. Valor da Avaliação: R$ 175.500,00. Data da Penhora: 30/01/2019. Fiel Depositário: Edilson Bezerra de Souza. Valor da Execução: R$ 33.219,02. Leiloeiro Oficial Designado: TANIA MARIA VON BECKERATH GRIMALDI. Site do Leiloeiro Oficial Designado(2): http://www.taniagrimaldileiloes.com.br. ADVERTÊNCIA: Os litigantes, o cônjuge do(a) executado(a) ou os titulares de ônus sobre os bens que não forem localizados para fins de intimação pessoal, reputar-se-ão intimados com a publicação do presente edital (art. 207, inc. VI, do Prov. CR No. 02/2013). O presente edital segue assinado eletronicamente pelo(a) servidor(a) da Secretaria da Vara abaixo identificado(a), por ordem do Excelentíssimo(a) Senhor(a) Juiz(íza) do Trabalho acima identificado.  </w:t>
      </w:r>
      <w:r w:rsidDel="00000000" w:rsidR="00000000" w:rsidRPr="00000000">
        <w:rPr>
          <w:b w:val="1"/>
          <w:rtl w:val="0"/>
        </w:rPr>
        <w:t xml:space="preserve">Data da Disponibilização: Segunda-feira, 30 de Novembro de 2020</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