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ATOrd-0001065-63.2018.5.06.0145 AUTOR ARNALDO JOSE DA SILVA ADVOGADO ANNY BRITO ALVES DA SILVA CAVALCANTI(OAB: 27684/PE) RÉU CELULOSE E PAPEL DE PERNAMBUCO S/A- CEPASA ADVOGADO LUZICLENE MARIA MORAES MUNIZ(OAB: 17054/PE) ADVOGADO MANOELLA DUARTE COSTA E SILVA(OAB: 24057/PE) TERCEIRO INTERESSADO UNIÃO FEDERAL (PGF)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151834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2988/2020 Tribunal Regional do Trabalho da 6ª Região 3586 Data da Disponibilização: Sexta-feira, 05 de Junho de 2020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Processo: 0001065-63.2018.5.06.0145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Exequente: ARNALDO JOSE DA SILVA CPF: 404.888.104-34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Advogado do Exequente: Anny Brito Alves da Silva Cavalcanti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(OAB: PE27684)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Executado(s): CELULOSE E PAPEL DE PERNAMBUCO S/A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CEPASA, CNPJ: 10.422.699/0001-31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Advogado do Executado: Luziclene Maria Moraes Muniz (OAB: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PE17054) / Manoella Duarte Costa e Silva (OAB: PE24057)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EDITAL DE HASTA PÚBLICA E INTIMAÇÃO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ONLINE*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GILVANILDO DE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ARAUJO LIMA, Juiz(íza) do Trabalho da 5ª Vara do Trabalho de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Jaboatão, na forma da lei, FAZ SABER a todos quantos este edital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virem, ou dele tiverem conhecimento, que o leiloeiro abaixo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indicado, devidamente autorizado por este juízo, promoverá a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alienação, por ARREMATAÇÃO PÚBLICA, apenas na modalidade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online (*por força do Ato Conjunto TRT6-GP/GVP/GCR-06/2020), a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encerrar-se em sessão virtual a ser realizada no dia 14/07/2020, às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9:00 (horário local) com transmissão em tempo real, disponível no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site (abaixo informado) de responsabilidade do leiloeiro designado,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em primeiro leilão, do(s) bem(ns) abaixo especificado(s) e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penhorado(s) nos presentes autos, a quem oferecer maior lanço.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Caso não haja licitante ou dê-se indeferimento do lanço vencedor,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o(s) bem(ns) será(ão) alienado(s) em segundo leilão designado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para encerrar-se em sessão virtual a ser realizada no dia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05/08/2020 no mesmo horário acima especificado, novamente pelo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maior lanço ofertado, devendo o arrematante efetuar, com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diligência, o pagamento dos valores integrais do lanço e da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comissão do leiloeiro a título de 5% (cinco por cento) obtido sobre o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valor da arrematação, na forma determinada pelo juízo competente,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desde que, excepcionalmente, comprove todos os pagamentos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devidos em até 5 dias úteis. O(s) bem(ns) penhorado(s) nos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presentes autos poderá(ão) ser alienado(s) em primeira praça pelo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lanço mínimo de 40% e em segunda praça pelo lanço mínimo de 20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% calculados sobre o valor da avaliação do(s) mesmo(s). Os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percentuais de lanço mínimo não vinculam ou pressupõem o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deferimento do lanço apresentado, ainda que superem o valor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estabelecido. A oferta de lanços, exclusivamente eletrônicos, deverá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observar o dispositivo normativo específico (Resolução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Administrativa-026/2017) ou aquele que vier a substituí-lo ou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reformá-lo.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UM DOSADOR DE POL[IMERO MODELO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2X10 NOVO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BEM:RUA VEREADOR SOCRATES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REGUEIRA PINTO SOUZA, 183 - CENTRO - JABOATAO DOS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GUARARAPES - PE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R$ 200.000,00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DATA DA PENHORA: 19/03/2020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 (CPF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704041614-00)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R$ 66.838,20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TÂNIA GRIMALDI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DESIGNADO: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www.taniagrimaldileiloes.com.br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os titulares de ônus sobre os bens que não forem localizados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para fins de intimação pessoal, reputar-se-ão intimados com a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publicação do presente edital (Art. 207, inc. VI, do Prov. CR No.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02/2013).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Deverá(ão) o(s) destinatário(s) desta publicação atentar para o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disposto na Lei 11.419/06, bem como a regulamentação da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Resolução N.º 136/2014 do CSJT, do Ato Conjunto TST.CSJT.GP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nº 15/2008 e do Ato TRT6-GP N.º 443/2012.Documento assinado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digitalmente conforme MP n° 2.200-2/2001 de 24/08/2001, que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instituiu a Infra-estrutura de Chaves Públicas Brasileira - ICP-Brasil,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e nos termos da Lei 11.419/2006, que instituiu o Processo Judicial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  <w:t xml:space="preserve">Eletrônico. O documento pode ser acessado no endereço eletrônico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  <w:t xml:space="preserve">"http://pje.trt6.jus.br/primeirograu/Processo/ConsultaDocumento/list</w:t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  <w:t xml:space="preserve">View.seam", informando-se a chave numérica abaixo.</w:t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 por ordem</w:t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 Senhor(a) Juiz(íza) do Trabalho acima</w:t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  <w:t xml:space="preserve">identificado(a).</w:t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05 de junho de 2020.</w:t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