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ATOrd-0001295-14.2018.5.06.0143 AUTOR JOABE ALVES DA SILVA ADVOGADO ANNY BRITO ALVES DA SILVA CAVALCANTI(OAB: 27684/PE) RÉU CELULOSE E PAPEL DE PERNAMBUCO S/A- CEPASA ADVOGADO MANOELLA DUARTE COSTA E SILVA(OAB: 24057/PE)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JOABE ALVES DA SILVA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Exequente: JOABE ALVES DA SILVA, CPF: 032.372.924-00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Advogado(s) do exequente: ANNY BRITO ALVES DA SILVA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CAVALCANTI, OAB: 27684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Executada: CELULOSE E PAPEL DE PERNAMBUCO S/A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CEPASA, CNPJ: 10.422.699/0001-31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Advogado(a) da executada: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#{processoTrfHome.instance.tipoNomeAdvogadoReuList}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- ON LINE*¹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A Excelentíssima Senhora DoutoraMARIA DO CARMO VAREJÃO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RICHLIN, Juíza do Trabalho da3ª VARA DO TRABALHO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DOJABOATÃO , na forma da lei, FAZ SABER a todos quantos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este edital virem, ou dele tiverem conhecimento, que o leiloeiro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abaixo indicado, devidamente autorizado por este juízo, promoverá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a alienação, por ARREMATAÇÃO PÚBLICA,apenasna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modalidade online(*¹por força do Ato Conjunto TRT6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GP/GVP/GCR-06/2020),a encerar-seem sessão virtual a ser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realizada no dia14/07/2020, às09:00 h (horário local) com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transmissão em tempo real, disponível no site*² de responsabilidade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do leiloeiro designado, em primeiro leilão, do(s) bem(ns) abaixo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especificados e penhorado(s) nos presentes autos, a quem oferecer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maior lanço. Caso não haja licitante ou dê-se indeferimento do lanço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designado paraencerar-se em sessão virtual a ser realizadano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dia05/08/2020no mesmo horário acimaespecificado, novamente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pelo maior lanço ofertado, devendo o arrematanteefetuar, com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diligência, o pagamentodos valores integrais do lanço eda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a título de 5% (cinco por cento) obtido sobre o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valor da arrematação, na forma determinada pelo juízo competente,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desde que, excepcionalmente, comprove todos os pagamentos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devidos em até 5 dias úteis. O(s) bem(ns) penhorado(s) nos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presentes autos poderá(ão) ser alienado(s) em primeira praça pelo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lanço mínimo de40% e em segunda praça pelo lanço mínimo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de30%, calculados sobre o valor da avaliação do(s) mesmo(s). Os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percentuais de lanço mínimo não vinculam ou pressupõem 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deferimento do lanço apresentado, ainda que superem o valor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estabelecido. A oferta de lanços,exclusivamente eletrônicos,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deverá observar o dispositivo normativo específico (Resolução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Administrativa-026/2017) ou aquele que vier a substituí-lo ou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reformá-lo.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---------------------------------- PENHORA --------------------------------------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01- (UMA) PENEIRA ROTATIVA EFLUENTES PAPEL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2000X6000mm, EM BOM ESTADO DE CONSERVAÇÃO.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SEDE DA RECLAMADA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R$ 180.000,00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Data da Avaliação: 09/01/2020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R$ 51.398,66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MARIA VON BECKERATH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GRIMALDI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https://www.taniagrimaldileiloes.com.br/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2020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