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ATOrd-0000048-61.2019.5.06.0143 AUTOR RINALDO JOSE DOS SANTOS ADVOGADO ANNY BRITO ALVES DA SILVA CAVALCANTI(OAB: 27684/PE) RÉU CELULOSE E PAPEL DE PERNAMBUCO S/A- CEPASA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RINALDO JOSE DOS SANTOS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3905 Data da Disponibilização: Quarta-feira, 03 de Junho de 2020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Exequente: RINALDO JOSE DOS SANTOS, CPF: 023.137.134-90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ANNY BRITO ALVES DA SILVA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CAVALCANTI, OAB: 27684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Executada: CELULOSE E PAPEL DE PERNAMBUCO S/A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CEPASA, CNPJ: 10.422.699/0001-31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DoutoraMARIA DO CARMO VAREJÃO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da3ª VARA DO TRABALHO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DOJABOATÃO , na forma da lei, FAZ SABER a todos quantos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PÚBLICA,apenasna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modalidade online(*¹por força do Ato Conjunto TRT6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GP/GVP/GCR-06/2020),a encerar-seem sessão virtual a ser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realizada no dia14/07/2020, às09:00 h (horário local) com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designado paraencerar-se em sessão virtual a ser realizadano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dia05/08/2020no mesmo horário acimaespecificado, novamente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arrematanteefetuar, com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pagamentodos valores integrais do lanço eda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lanço mínimo de40% e em segunda praça pelo lanço mínimo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de30%, calculados sobre o valor da avaliação do(s) mesmo(s). Os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lanços,exclusivamente eletrônicos,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01(UMA) BOMBA CENTRIFUGA EQB- BIPARTIDA 500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50,Nº33177, COM BASE, LUVA E DOIS MOTORES 65cv-6P, EM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BOM ESTADO DE CONSERVAÇÃO.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SEDE DA RECLAMADA.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R$ 334.000,00.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Data da Avaliação: 09/01/2020.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R$ 84.767,56.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