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ATOrd-0000770-66.2017.5.06.0143 AUTOR GLEYDSON DE ANDRADE DIAS ADVOGADO SANDRO DE MEDEIROS MACHADO(OAB: 27024-D/PE) ADVOGADO ANA CAROLINA CAVALCANTI ELIHIMAS(OAB: 26085-D/PE) RÉU CELULOSE E PAPEL DE PERNAMBUCO S/A- CEPASA ADVOGADO MANOELLA DUARTE COSTA E SILVA(OAB: 24057/PE) RÉU TV TRIBUNA ADVOGADO JOAQUIM EDINILSON SIQUEIRA DA SILVA(OAB: 11817-D/PE) RÉU CIMENTOS DO BRASIL S/A CIBRASA ADVOGADO PAULO GUSTAVO FREIRE DINIZ COSTA(OAB: 31264/PE) RÉU SOCIEDADE DE TAXI AEREO WESTON LTDA ADVOGADO SERGIO AUGUSTO MARCELINO DE ALBUQUERQUE(OAB: 11956/PE) RÉU ITAUTINGA AGRO INDUSTRIAL S A ADVOGADO PEDRO CORREA GONDIM FILHO(OAB: 28442/PE)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GLEYDSON DE ANDRADE DIAS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3896 Data da Disponibilização: Quarta-feira, 03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Exequente: GLEYDSON DE ANDRADE DIAS, CPF: 030.434.744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ANA CAROLINA CAVALCANTI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ELIHIMAS, OAB: 26085-D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SANDRO DE MEDEIROS MACHADO, OAB: 27024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Executada: CELULOSE E PAPEL DE PERNAMBUCO S/A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10.422.699/0001-31; CIMENTOS DO BRASIL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S/A CIBRASA, CNPJ: 04.898.425/0001-10; SOCIEDADE DE TAXI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AEREO WESTON LTDA, CNPJ: 10.946.986/0001-40; ITAUTINGA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AGRO INDUSTRIAL S A, CNPJ: 04.265.872/0001-32; TV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TRIBUNA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DoutoraMARIA DO CARMO VAREJÃO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da3ª VARA DO TRABALHO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DOJABOATÃO , na forma da lei, FAZ SABER a todos quantos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este edital virem, ou dele tiverem conhecimento, que o leiloeiro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abaixo indicado, devidamente autorizado por este juízo, promoverá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 alienação, por ARREMATAÇÃO PÚBLICA,apenasna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modalidade online(*¹por força do Ato Conjunto TRT6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GP/GVP/GCR-06/2020),a encerar-seem sessão virtual a ser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realizada no dia14/07/2020, às09:00 h (horário local) com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designado paraencerar-se em sessão virtual a ser realizadano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dia05/08/2020no mesmo horário acimaespecificado, novamente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pelo maior lanço ofertado, devendo o arrematanteefetuar, com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pagamentodos valores integrais do lanço eda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lanço mínimo de40% e em segunda praça pelo lanço mínimo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de30%, calculados sobre o valor da avaliação do(s) mesmo(s). Os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lanços,exclusivamente eletrônicos,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-01 (UM) DOSADOR DE POLÍMERO MODELO 2X10, NOVO.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SEDE DA RECLAMADA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R$ 211.000,00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09/01/2020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R$ 79.011,27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