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ATSum-0000357-19.2018.5.06.0143 AUTOR CAMILO ALVES BARBOSA SILVA ADVOGADO SIMONE BATISTA DE SOUZA(OAB: 41531/PE) RÉU HOTELSYS GESTAO HOTELEIRA LTDA ADVOGADO JOSE MANUEL ZEFERINO GALVAO DE MELO(OAB: 25286-D/PE)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3917 Data da Disponibilização: Quarta-feira, 03 de Junho de 2020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  - HOTELSYS GESTAO HOTELEIRA LTDA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Exequente: CAMILO ALVES BARBOSA SILVA, CPF: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086.171.074-64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Advogado(s) do exequente: SIMONE BATISTA DE SOUZA,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OAB: 41531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Executada: HOTELSYS GESTAO HOTELEIRA LTDA, CNPJ: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05.736.256/0001-85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- ON LINE*¹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 Excelentíssima Senhora Doutora MARIA DO CARMO VAREJÃO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RICHLIN, Juíza do Trabalho da 3ª VARA DO TRABALHO DO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JABOATÃO, na forma da lei, FAZ SABER a todos quantos este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edital virem, ou dele tiverem conhecimento, que o leiloeiro abaixo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alienação, por ARREMATAÇÃO PÚBLICA, apenas na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modalidade on line (*¹por força do Ato Conjunto TRT6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GP/GVP/GCR-06/2020), a encerar-se em sessão virtual a ser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realizada no dia 14/07/2020, às 09:00h (horário local) com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transmissão em tempo real, disponível no site*² de responsabilidade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designado para encerar-se em sessão virtual a ser realizada no dia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05/08/2020 no mesmo horário acima especificado, novamente pelo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maior lanço ofertado, devendo o arrematante efetuar, com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 dos valores integrais do lanço e da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lanço mínimo de 50% e em segunda praça pelo lanço mínimo de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40%, calculados sobre o valor da avaliação do(s) mesmo(s). Os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 exclusivamente eletrônicos,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reformá-lo. O arrematante/alienante ficará isento dos créditos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tributários relativos a impostos cujo fato gerador seja 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propriedade, o domínio útil ou a posse de bens imóveis, e bem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assim os relativos a taxas pela prestação de serviços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referentes a tais bens, ou a contribuições de melhoria da União,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Estados e Municípios e Distrito Federal, salvo quando conste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do título a prova de sua quitação, seja em hasta pública ou em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alienação particular, estejam ou não inscritos na dívida ativa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(art.130, parágrafo único do CTN), em conformidade com o art.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78 da Consolidação dos Provimentos da Corregedoria Geral da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bem:Descrição do bem: APARTAMENTO Nº 616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DO "CONDOMÍNIO ESTORIL SUÍTES", DO TIPO 02, TERRENO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PARTE PRÓPRIO E PARTE DE MARINHA, UNIFICADO SOB O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Nº 2B (DOIS BÊ), DA QUADRA "A", DOS LOTEAMENTOS SÍTIO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PONTA DE PEDRA E PARTE DO SÍTIO PONTA DE PEDRA, EM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PIEDADE, RESULTANTE DO DESMEMBRAMENTO DOS LOTES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01 E 02 DA QUADRA "A', DO LOTEAMENTO DO SÍTIO PONTA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DE PEDRA E DOS LOTES 01 E 2-A, DA QUADRA "A", DO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LOTEAMENTO SÍTIO PONTA DE PEDRA; CÔMODOS: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VESTÍBULO, QUARTO/SALA, WCB.; COM ESTACIONAMENTO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DE USO ROTATIVO PARA AUTOMÓVEIS DE PASSEIO DE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PEQUENO PORTE, COM ÁREA PRIVATIVA DE 31,70M², ÁREA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COMUM DE 28,86M² E ÁREA TOTAL DE 60,56M²,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CORRESPONDENDO A 01 FRAÇÃO IDEAL DE TERRENO E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DEMAIS PARTES E COISAS DE USO COMUM EQUIVALENTE A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0,003600; MEDINDO 61,30M DE LARGURA, NA LINHA DE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FRENTE POR ONDE CONFRONTA-SE A AV. BERNARDO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VIEIRA DE MELO; MEDE 57,00M DE COMPRIMENTO NA LINHA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DO LADO DIREITO POR ONDE CONFRONTA-SE COM UMA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RUA PROJETADA; MEDE 62,00M DE COMPRIMENTO NA LINHA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DO LADO ESQUERDO POR ONDE CONFRONTA-SE COM A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RUA SÃO SEBASTIÃO, E, MEDE 58,60 DE LARGURA NA LINHA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DE FUNDOS POR ONDE CONFRONTA-SE COM A AV. BEIRA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MAR.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AV. BERNARDO VIEIRA DE MELO,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PIEDADE, JABOATÃO, PE, CEP 54410010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R$ 160.000,00.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16/3/2020.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HOTELSYS.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R$ 9.086,00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 BECKERATH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3918 Data da Disponibilização: Quarta-feira, 03 de Junho de 2020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https://www.taniagrimaldileiloes.com.br/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03 de junho de 2020.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