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ATOrd-0000411-82.2018.5.06.0143 AUTOR BRUNO EDUARDO DOS SANTOS ADVOGADO JOAO INOCENCIO JUNIOR(OAB: 32815/PE) RÉU CELULOSE E PAPEL DE PERNAMBUCO S/A- CEPASA ADVOGADO LUZICLENE MARIA MORAES MUNIZ(OAB: 17054/PE) ADVOGADO MANOELLA DUARTE COSTA E SILVA(OAB: 24057/PE) PERITO LEONARDO SILVA BARBOZA DOS SANTOS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BRUNO EDUARDO DOS SANTOS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BRUNO EDUARDO DOS SANTOS, CPF: 048.530.114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-80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JOAO INOCENCIO JUNIOR, OAB: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32815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01- DOSADOR DE POLÍMERO MODELO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2X10,NOVO.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EXECUTADA.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R$ 200.00,00.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19/03/2020.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R$ 37.343,49.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3914 Data da Disponibilização: Quarta-feira, 03 de Junho de 2020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