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ATSum-0001054-40.2018.5.06.0143 AUTOR JOSE LUIZ DO NASCIMENTO ADVOGADO ANNY BRITO ALVES DA SILVA CAVALCANTI(OAB: 27684/PE)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JOSE LUIZ DO NASCIMENTO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JOSE LUIZ DO NASCIMENTO, CPF: 511.435.184-20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ANNY BRITO ALVES DA SILVA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CAVALCANTI, OAB: 27684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  01- DOSADOR DE POLÍMERO MODELO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2X10,NOVO.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.Localização do bem: SEDE DA EXECUTADA.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R$ 200.000,00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19/03/2020.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Depositário:ADEILSON FERREIRA SILVA.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R$23.236,93.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3892 Data da Disponibilização: Quarta-feira, 03 de Junho de 2020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