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CartPrecCiv-0001409-92.2014.5.06.0142 AUTOR KLEBER DE FREITAS MORAES ADVOGADO OZORIO CESAR CAMPANER(OAB: 19044/PR) RÉU SIMARCO INDUSTRIA COMERCIO IMPORTACAO E EXPORTACAO LTDA - ME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SIMARCO INDUSTRIA COMERCIO IMPORTACAO E EXPORTACAO LTDA - ME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EDHPI-0142003842-2020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14/7/2020 e 05/08/2020, às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09:00 (horário local) com transmissão em tempo real, disponível no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site*2 de responsabilidade do leiloeiro designado, em primeiro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50 % e em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30 %, calculados sobre o valor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3824 Data da Disponibilização: Quarta-feira, 03 de Junho de 2020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O arrematante/alienante ficará isento dos créditos tributários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relativos a impostos cujo fato gerador seja a propriedade, o domínio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útil ou a posse de bens imóveis, e bem assim os relativos a taxas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pela prestação de serviços referentes a tais bens, ou 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contribuições de melhoria da União, Estados e Municípios e Distrito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Federal, salvo quando conste do título a prova de sua quitação, seja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em hasta pública ou em alienação particular, estejam ou não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inscritos na dívida ativa (art.130, parágrafo único do CTN), em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conformidade com o art. 78 da Consolidação dos Provimentos da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Corregedoria Geral da Justiça do Trabalho.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LOTEAMENTO NOSSA SENHORA DAS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GRAÇAS, PRAZERES (QUADRAS 1 L, 1 K, 1 J, 1 I, 1 H, e 1 G),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COM DEMAIS DESCRIÇÕES NO AUTO DE PENHORA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CONSTANTE NOS AUTOS.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CAJARA, PRAZERES, JABOATAO, PE,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CEP 54000000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R$ 3.530.000,00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Data da Penhora: 5/7/2017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R$ 300.366,40.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