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ATOrd-0001102-07.2015.5.06.0142 AUTOR SEVERINO BEZERRA DA SILVA ADVOGADO JACILEIDE BERNARDO NUNES BEZERRA(OAB: 12616/PE) RÉU CELULOSE E PAPEL DE PERNAMBUCO S/A- CEPASA ADVOGADO LUZICLENE MARIA MORAES MUNIZ(OAB: 17054/PE) ADVOGADO MANOELLA DUARTE COSTA E SILVA(OAB: 24057/PE) PERITO JOSE CARLOS FERNANDES DA SILVA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3820 Data da Disponibilização: Quarta-feira, 03 de Junho de 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CALDEIRA DEDINE V2/5 BE85, VAZÃO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100T/H. PRESSÃO 42KG TEMPERATURA 420 GRAUS.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PINTO, CENTRO, JABOATAO, PE, CEP 54100000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R$ 1.000.000,00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29/10/2019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ADELSON FERREIRA SILVA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R$ 51.085,96.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