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2ª Vara do Trabalho de Jaboatão Edital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3812 Data da Disponibilização: Quarta-feira, 03 de Junho de 2020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ATOrd-0001158-35.2018.5.06.0142 AUTOR MARCELO HIDEO HAGIHARA ADVOGADO SANDRO DE MEDEIROS MACHADO(OAB: 27024-D/PE) ADVOGADO ANA CAROLINA CAVALCANTI ELIHIMAS(OAB: 26085-D/PE) RÉU ITAPUI BARBALHENSE INDUSTRIA DE CIMENTOS S/A ADVOGADO HUMBERTO ARAUJO PINTO(OAB: 1092-B/PE) RÉU SOCIEDADE DE TAXI AEREO WESTON LTDA ADVOGADO RENATA ALBUQUERQUE DUARTE E SILVA(OAB: 47773/PE) RÉU ITABIRA AGRO INDUSTRIAL S A ADVOGADO RENATA ALBUQUERQUE DUARTE E SILVA(OAB: 47773/PE) RÉU CIMENTOS DO BRASIL S/A CIBRASA ADVOGADO RENATA ALBUQUERQUE DUARTE E SILVA(OAB: 47773/PE) RÉU ITAJUBARA S/A ACUCAR E ALCOOL ADVOGADO RENATA ALBUQUERQUE DUARTE E SILVA(OAB: 47773/PE) RÉU CELULOSE E PAPEL DE PERNAMBUCO S/A- CEPASA ADVOGADO LUZICLENE MARIA MORAES MUNIZ(OAB: 17054/PE) ADVOGADO MANOELLA DUARTE COSTA E SILVA(OAB: 24057/PE) RÉU NASSAU EDITORA RADIO E TV LTDA ADVOGADO JOAQUIM EDINILSON SIQUEIRA DA SILVA(OAB: 11817-D/PE)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EDITAL DE HASTA PÚBLICA E INTIMACAO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EDHPI-0142003862-2020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LINE”*1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MAYARD DE FRANÇA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SABOYA ALBUQUERQUE, Juiz(íza) do Trabalho da VARA DO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TRABALHO 2ª DO JABOATAO DOS GUARARAPES, na forma da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(*1por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encerrar-se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nos dias 14/7/2020 e 05/08/2020,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às 09:00 (horário local) com transmissão em tempo real, disponível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no site*2 de responsabilidade do leiloeiro designado, em primeiro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leilão, do(s) bem(ns) abaixo especificados e penhorado(s) nos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presentes autos, a quem oferecer maior lanço. Caso não haja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encerrar-se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5/8/2020 no mesmo horário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acima especificado, novamente pelo maior lanço ofertado, devendo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o arrematante efetuar, com diligência, o pagamento dos valores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A oferta de lanços, exclusivamente eletrônicos, deverá observar 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dispositivo normativo específico (Resolução Administrativa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026/2017) ou aquele que vier a substituí-lo ou reformá-lo.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UMA IMPRESSORA FLEXOGRAFICA DE SEIS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CORES, EM FUNCIONAMENTO E BOM ESTADO DE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CONSERVAÇÃO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PINTO SOUZA, CENTRO, JABOATAO, PE, CEP 51100000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R$ 800.000,00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Data da Penhora: 4/2/2020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R$ 63.904,31.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VON BECKERATH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GRIMALDI.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Designado*2:http://www.taniagrimaldileiloes.com.br.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 Senhor(a) Juiz(íza) do Trabalho acima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identificado.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3813 Data da Disponibilização: Quarta-feira, 03 de Junho de 2020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JABOATÃO DOS GUARARAPES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