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ATSum-0000399-62.2018.5.06.0145 AUTOR DEVID JONATHAS SANTOS SILVA ADVOGADO Carlos Roberto Alexandre dos Santos(OAB: 26141-D/PE) RÉU HOTELSYS GESTAO HOTELEIRA LTDA ADVOGADO JOSE MANUEL ZEFERINO GALVAO DE MELO(OAB: 25286-D/PE) TERCEIRO INTERESSADO BANCO CREFISA S.A. TERCEIRO INTERESSADO Cartório Eduardo Malta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HOTELSYS GESTAO HOTELEIRA LTDA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Processo: 0000399-62.2018.5.06.0145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Exequente: DEVID JONATHAS SANTOS SILVA CPF: 099.549.184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42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Advogado: CARLOS ROBERTO ALEXANDRE DOS SANTOS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OAB/PE026141-D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Executado: HOTELSYS GESTAO HOTELEIRA LTDA CNPJ: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05.736.256/0001-85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Advogado: JOSÉ MANUEL ZEFERINO GALVÃO DE MELO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(OAB/PE 25286)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INTIMAÇÃO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ONLINE*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ARAUJO LIMA, Juiz(íza) do Trabalho da 5ª Vara do Trabalho de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apenas na modalidade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online (*por força do Ato Conjunto TRT6-GP/GVP/GCR-06/2020), 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encerrar-se em sessão virtual a ser realizada no dia 14/07/2020,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às 9:00 (horário local) com transmissão em tempo real, disponível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no site (abaixo informado) de responsabilidade do leiloeiro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designado, em primeiro leilão, do(s) bem(ns) abaixo especificado(s)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e penhorado(s) nos presentes autos, a quem oferecer maior lanço.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151654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2985/2020 Tribunal Regional do Trabalho da 6ª Região 5693 Data da Disponibilização: Terça-feira, 02 de Junho de 2020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para encerrar-se em sessão virtual a ser realizada no dia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05/08/2020 no mesmo horário acima especificado, novamente pelo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 da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50 % e em segunda praça pelo lanço mínimo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 30 % calculados sobre o valor da avaliação do(s) mesmo(s). Os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 exclusivamente eletrônicos, deverá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observar o dispositivo normativo específico (Resolução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reformá-lo. O arrematante/alienante ficará isento dos créditos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tributários relativos a impostos cujo fato gerador seja a propriedade,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o domínio útil ou a posse de bens imóveis, e bem assim os relativos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a taxas pela prestação de serviços referentes a tais bens, ou 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contribuições de melhoria da União, Estados e Municípios e Distrito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Federal, salvo quando conste do título a prova de sua quitação, seja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em hasta pública ou em alienação particular, estejam ou não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inscritos na dívida ativa (art. 130, parágrafo único do CTN), em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conformidade com o art. 78 da Consolidação dos Provimentos da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Corregedoria Geral da Justiça do Trabalho.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APTO SOB O N. 316 (TREZENTOS E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DEZESSEIS) INTEGRANTE DO CONDOMÍNIO ESTORIL SUÍTES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, DO TIPO 2 , SITUADO À AVENIDA BERNARDO VIEIRA DE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MELO , N. 1624, PIEDADE JABOATÃO DOS GUARARAPES ,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COMPOSTO DOS SEGUINTES COMODOS : VESTÍBULO,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QUARTO/SALA E WCB , COM ESTACIONAMENTO DE USO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ROTATIVO , PARA AUTOMÓVEIS DE PASSEIO PORTE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PEQUENO . COM ÁREA PRIVATIVA DE 31,70 METROS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QUADRADOS , ÁREA COMUM DE 28,86 METROS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QUADRADOS E ÁREA TOTAL DE 60,56 METROS QUADRADOS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, DE PROPRIEDADE HOTELSYS GESTÃO HOTELEIRA , TUDO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CONFORME CERTIDÃO CARTORÁRIA ID ae75aac, NOS AUTOS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ELETRONICO SUPRA , EXPEDIDA EM 16 DE AGOSTO DE 2019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. MATRÍCULA 79741 DO 1. SERVIÇO NOTARIAL E REGISTRAL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DO JABOATÃO DE GUARARAPES/PE - CARTÓRIO EDUARDO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MALTA 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HIPOTECA AVERBADA: HIPOTECA EM FAVOR DO CREDOR :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BPN BRASIL BANCO MÚLTIPLO , INSTITUIÇÃO FINANCEIRA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COM SEDE EM SÃO PAULO , ESTADO DE SÃO PAULO E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AVERBAÇÃO DA EXISTÊNCIA DE AÇÃO E ABSTENÇÃO DE SE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PROCEDER A BAIXA NA GARANTIA HIPOTECÁRIA.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O APARTAMENTO ENCONTRA-SE DESOCUPADO E EM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RAZOÁVEL ESTADO DE CONSERVAÇÃO E USO .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AVENIDA BERNARDO VIEIRA DE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MELO , 1624 - PIEDADE - JABOATAO DOS GUARARAPES 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PERNAMBUCO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R$ 168.016,97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12/09/2019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TÂNIA MARIA VON BECKERATH GRIMALDI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(CPF 168.977904-79)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R$ 32. 819,77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TÃNIA GRIMALDI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DESIGNADO: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Deverá(ão) o(s) destinatário(s) desta publicação atentar para o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disposto na Lei 11.419/06, bem como a regulamentação da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Resolução N.º 136/2014 do CSJT, do Ato Conjunto TST.CSJT.GP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nº 15/2008 e do Ato TRT6-GP N.º 443/2012.Documento assinado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 xml:space="preserve">digitalmente conforme MP n° 2.200-2/2001 de 24/08/2001, que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instituiu a Infra-estrutura de Chaves Públicas Brasileira - ICP-Brasil,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e nos termos da Lei 11.419/2006, que instituiu o Processo Judicial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Eletrônico. O documento pode ser acessado no endereço eletrônico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"http://pje.trt6.jus.br/primeirograu/Processo/ConsultaDocumento/list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  <w:t xml:space="preserve">View.seam", informando-se a chave numérica abaixo.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 por ordem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  <w:t xml:space="preserve">identificado(a).</w:t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28 de maio de 2020.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