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CartPrecCiv-0000133-07.2020.5.06.0145 AUTOR CLEBSON SOARES DA SILVA ADVOGADO PAMELLA FIGUEIREDO DE MEDEIROS(OAB: 26954-D/PE) RÉU VIACON CONSTRUCOES E MONTAGENS LTDA. ADVOGADO Thiago Francisco de Melo Cavalcanti(OAB: 23179/PE)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VIACON CONSTRUCOES E MONTAGENS LTDA.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5ª VARA DO TRABALHO DO JABOATAO DOS GUARARAPES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Processo....:0000133-07.2020.5.06.0145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Exequente..:AUTOR: CLEBSON SOARES DA SILVA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ADVOGADO: PAMELLA FIGUEIREDO DE MEDEIROS, OAB/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26954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Executado :VIACON CONSTRUCOES E MONTAGENS LTDA.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ADVOGADO: THIAGO FRANCISCO DE MELO CAVALCANTI ,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OAB/PE 23179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LINE”*¹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GILVANILDO DE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ARAÚJO LIMA, Juiz(íza) do Trabalho da 5ª VARA DO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TRABALHO DE JABOATÃO DOS GUARARAPES , na forma da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(*¹por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encerar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se em sessão virtual a ser realizada no dia 14/07/2020, às 09:00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h (horário local) com transmissão em tempo real, disponível no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site*² de responsabilidade do leiloeiro designado, em primeiro leilão,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do(s) bem(ns) abaixo especificados e penhorado(s) nos presentes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2430 Data da Disponibilização: Quinta-feira, 28 de Maio de 2020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autos, a quem oferecer maior lanço. Caso não haja licitante ou dê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se indeferimento do lanço vencedor, o(s) bem(ns) será(ão)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alienado(s) em segundo leilão designado para encerar-se em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sessão virtual a ser realizada no dia 05/08/2020 no mesmo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 da comissão do leiloeiro a título de 5%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 A oferta de lanços,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exclusivamente eletrônicos, deverá observar o dispositivo normativo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específico(Resolução Administrativa-026/2017) ou aquele que vier 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substituí-lo ou reformá-lo.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02 PLACAS VIBRATÓRIAS MODELO E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MARCA GASO WEBER PV 2000 MAQ, PARA USO EM SOLO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(COMPACTAÇÃO ) , SEM NUMERO DE SÉRIE APARENTE ,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MOTOR 5.5 HP , USADAS , FUNCIONANDO EM PRECÁRIO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ESTADO DE CONSERVAÇÃO. AVLIADO O LOTE ( 2X R$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1.500,00)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DAS ACACIAS , S/N- MURIBECA 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 - PERNAMBUCO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R$ 3.000,00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Data da Penhora: 21/02/2020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HELENO SEVERINO DA SILVA (CPF 023.833.994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-77)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R$ 2.781,27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GRIMALDI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www.taniagrimaldileiloes.com.br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