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ATOrd-0000720-37.2017.5.06.0144 AUTOR ELIEZER MENEZES DA SILVA ADVOGADO ANA CAROLINA CAVALCANTI ELIHIMAS(OAB: 26085-D/PE) ADVOGADO SANDRO DE MEDEIROS MACHADO(OAB: 27024-D/PE) RÉU TV TRIBUNA ADVOGADO JOAQUIM EDINILSON SIQUEIRA DA SILVA(OAB: 11817-D/PE) RÉU SOCIEDADE DE TAXI AEREO WESTON LTDA ADVOGADO PEDRO CORREA GONDIM FILHO(OAB: 28442/PE) RÉU CIMENTOS DO BRASIL S/A CIBRASA ADVOGADO ARNALDO ALEXANDRE DE SOUZA(OAB: 34947/PE) RÉU CELULOSE E PAPEL DE PERNAMBUCO S/A- CEPASA ADVOGADO LUZICLENE MARIA MORAES MUNIZ(OAB: 17054/PE)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2335 Data da Disponibilização: Quinta-feira, 28 de Maio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Processo: 0000720-37.2017.5.06.0144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Exequente: ELIEZER MENEZES DA SILVA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CPF/CNPF Exequente: 905.273.214-00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s SANDRO DE MEDEIROS MACHADO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Executado:CELULOSE E PAPEL  DE PERNAMBUCO SA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 10.422.699/0001-31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 LUZICLENE MARIA MOARES MUNIZ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MATHEUS RIBEIRO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REZENDE, Juiz(íza) do Trabalho da 4Aª VARA DO TRABALHO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DO JABOATAO , na forma da lei, FAZ SABER a todos quantos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 apenasna modalidade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online (*¹por força do Ato Conjunto TRT6-GP/GVP/GCR-06/2020), 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encerar-se em sessão virtual a ser realizada no dia 14/07/2020, às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09:00 h (horário local) com transmissão em tempo real, disponível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no site*² de responsabilidade do leiloeiro designado, em primeiro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encerar-se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05/08/2020no mesmo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eda comissão do leiloeiro a título de 5%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 do(s) mesmo(s). Os percentuais de lanço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lanços, exclusivamente eletrônicos, deverá observar o dispositivo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IMPRESSORA FLEXOGRAFICA 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MARCA FEVA DE 6 ( SEIS ) CORES EM FUNCIONAMENTO E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BOM ESTADO DE CONSERVAÇÃO..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R$ 800.000,00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06/01/2020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---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R$ 152.259,20. ( CENTO E CINQUENTA E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DOIS MIL DUZENTOS E CINQUENTA E NOVE REAIS E VINTE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CENTAVOS).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