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ATOrd-0001188-64.2018.5.06.0144 AUTOR WELLIO SOARES FERREIRA ADVOGADO ANNY BRITO ALVES DA SILVA CAVALCANTI(OAB: 27684/PE)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2334 Data da Disponibilização: Quinta-feira, 28 de Maio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Processo: 00001188.64.2018.5.06.0144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Exequente: WELLIO SOARES FERREIRA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CPF/CNPF Exequente: 784.186.314-49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ANNY BRITO ALVES DA SILVA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Executado: CELULOSE E PAPEL DE PERNAMBUCO SA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Executado:10.422.699/0001-31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 LUZICLENE MARIA MORAES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MUNIZ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PATRICIA COELHO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BRANDAO VIEIRA, Juiz(íza) do Trabalho da 4A.ª VARA DO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TRABALHO DO JABOATAO , na forma da lei, FAZ SABER a todos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promoverá a alienação, por ARREMATAÇÃO PÚBLICA, apenasna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modalidade online (*¹por força do Ato Conjunto TRT6-GP/GVP/GCR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-06/2020), a encerar-se em sessão virtual a ser realizada no dia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14/07/2020, às 09:00 h (horário local) com transmissão em tempo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real, disponível no site*² de responsabilidade do leiloeiro designado,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especificados e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para encerar-se em sessão virtual a ser realizada no dia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05.08.2020no mesmo horário acima especificado, novamente pelo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eda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pelo lanço mínimo de 40 % e em segunda praça pelo lanço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mínimo de 20 %, calculados sobre o valor da avaliação do(s)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exclusivamente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lo ou reformá-lo.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CONJUNTO DISPENSOR PARA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FABRICAÇÃO DE PASTA CELULOSICA MOD. 710.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R$ 900.000,00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Data da Penhora: 31/02/2020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-------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R$ 131.359,38 ( CENTO E TRINTA E UM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MIL TREZENTOS W CINQUNETA E NIOVE REAIS E TRINTA E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OITO CENTAVOS).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Designado:TÂNIA MARIA VONBECKERATH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GRIMALDI,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