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ATOrd-0000818-85.2018.5.06.0144 AUTOR ALEXANDRE PEREIRA DO NASCIMENTO ADVOGADO ANNY BRITO ALVES DA SILVA CAVALCANTI(OAB: 27684/PE)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Processo: 0000818-85.2018.5.06.0144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Exequente: ALEXANDRE PEREIRA DO NASCIMENTO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CPF/CNPF Exequente :809.581.414-87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ANNY BRITO ALVES DA SILVA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CAVALCANTI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Executado:CELULOSE E PAPEL DE PERNAMBUCO S/A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LUZICLENE MARIA MORAES MUNIZ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PATRICIA COELHO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BRANDAO VIEIRA, Juiz(íza) do Trabalho da 4ª VARA DO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TRABALHO DO JABOATAO , na forma da lei, FAZ SABER a todos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promoverá a alienação, por ARREMATAÇÃO PÚBLICA, apenasna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modalidade online (*¹por força do Ato Conjunto TRT6-GP/GVP/GCR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-06/2020), a encerar-se em sessão virtual a ser realizada no dia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14/07/2020, às 09:00 h (horário local) com transmissão em tempo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real, disponível no site*² de responsabilidade do leiloeiro designado,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especificados 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para encerar-se em sessão virtual a ser realizada no dia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05/08/2020no mesmo horário acima especificado, novamente pelo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eda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40 % e em segunda praça pelo lanço mínimo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 20 %, calculados sobre o valor da avaliação do(s) mesmo(s).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Os percentuais de lanço mínimo não vinculam ou pressupõem 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DOSADOR DE POLIMERO modelo 2 x 10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- novo  R$ 211.000,00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05/12/2019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---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R$ 95.514,80 ( NOVENTA E CINCO MIL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QUINHENTOS E QUATORZE REAIS E OITENTA CENTAVOS).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VONBECKERATH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