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ATOrd-0001377-44.2015.5.06.0145 AUTOR JEFFERSON JOSE DE SOUZA ADVOGADO JACILEIDE BERNARDO NUNES BEZERRA(OAB: 12616/PE) RÉU CELULOSE E PAPEL DE PERNAMBUCO S/A- CEPASA ADVOGADO MANOELLA DUARTE COSTA E SILVA(OAB: 24057/PE) RÉU JOSE BERNARDINO PEREIRA DOS SANTOS ADVOGADO EDUARDO VITOR GONCALVES COUTINHO(OAB: 113-B/PE)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Processo....:0001377-44.2015.5.06.0145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Exequente..: JEFFERSON JOSE DE SOUZA CPF: 050.840.064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33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ADVOGADO: JACILEIDE BERNARDO NUNES BEZERRA,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OAB/PE 12616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CEPASA CNPJ: 10.422.699/0001-31 / JOÃO BERNARDINO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PEREIRA DOS SANTOS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ADVOGADO: MANOELLA DUARTE COSTA E SILVA (OAB: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PE24057) / EDUARDO VITOR GONÇALVES COUTINHO (OAB: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PE113)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2871 Data da Disponibilização: Terça-feira, 26 de Maio de 2020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DOSADOR DE POLÍMERO MODELO 2X10,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NOVO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GUARARAPES - PERNAMBUCO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R$ 211.000,00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Data da Penhora: 27/11/2019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 704.041614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00)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R$ 36.479,68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