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ATOrd-0000103-06.2019.5.06.0145 AUTOR MARCELO GOMES DA CUNHA ADVOGADO ANNY BRITO ALVES DA SILVA CAVALCANTI(OAB: 27684/PE) RÉU CELULOSE E PAPEL DE PERNAMBUCO S/A- CEPASA ADVOGADO LUZICLENE MARIA MORAES MUNIZ(OAB: 17054/PE) ADVOGADO MANOELLA DUARTE COSTA E SILVA(OAB: 24057/PE) TERCEIRO INTERESSADO UNIÃO FEDERAL (PGF)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Processo....:0000103-06.2019.5.06.0145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AUTOR: MARCELO GOMES DA CUNHA CPF: 043.561.084-85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ADVOGADO: Anny Brito Alves da Silva Cavalcanti (OAB/ PE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27684 )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CEPASA CNPJ: 10.422.699/0001-31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ADVOGADO: Luziclene Maria Moraes Muniz (OAB: PE17054) /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Manoella Duarte Costa e Silva (OAB: PE24057)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TRABALHO DE JABOATÃO DOS GUARARAPES , na forma da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tiverem conhecimento, que o leiloeiro abaixo indicado,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devidamente autorizado por este juízo, promoverá a alienação,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por ARREMATAÇÃO PÚBLICA, apenas na modalidade online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(*¹por força do Ato Conjunto TRT6-GP/GVP/GCR-06/2020), 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encerar-se em sessão virtual a ser realizada no dia 14/07/2020,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às 09:00 h (horário local) com transmissão em tempo real,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disponível no site*² de responsabilidade do leiloeiro designado,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em primeiro leilão, do(s) bem(ns) abaixo especificados e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autos, a quem oferecer maior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2870 Data da Disponibilização: Terça-feira, 26 de Maio de 2020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designado para encerar-se em sessão virtual a ser realizada no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dia 05/08/2020 no mesmo horário acima especificado,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efetuar, com diligência, o pagamento dos valores integrais do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lanço e da comissão do leiloeiro a título de 5% (cinco por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cento) obtido sobre o valor da arrematação, na forma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excepcionalmente, comprove todos os pagamentos devidos em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até 5 dias úteis. O(s) bem(ns) penhorado(s) nos presentes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autos poderá(ão) ser alienado(s) em primeira praça pelo lanço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mínimo de 40 % e em segunda praça pelo lanço mínimo de 20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%, calculados sobre o valor da avaliação do(s) mesmo(s). Os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 exclusivamente eletrônicos,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específico(Resolução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PENEIRA ROTATIVA EFLUENTE DE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PAPEL 2000X6000MM, EM BOM ESTADO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GUARARAPES - PERNAMBUCO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R$ 150.000,00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12/03/2020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704049614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R$ 62.406,51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ordem do Excelentíssimo(a)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