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ATSum-0000059-84.2019.5.06.0145 AUTOR JOSENILDO JOSE BELO ADVOGADO DANIELA SIQUEIRA VALADARES(OAB: 21290/PE) RÉU CELULOSE E PAPEL DE PERNAMBUCO S/A- CEPASA ADVOGADO LUZICLENE MARIA MORAES MUNIZ(OAB: 17054/PE) TERCEIRO INTERESSADO UNIÃO FEDERAL (PGF)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Processo....:0000059-84.2019.5.06.0145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Exequente..:AUTOR: JOSENILDO JOSE BELO CPF: 050.482.294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28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ADVOGADO: DANIELA SIQUEIRA VALADARES, OAB/ 21290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CEPASA CNPJ: 10.422.699/0001-31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ADVOGADO: LUZICLENE MARIA MORAES MUNIZ -OAB/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PE17054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 LEILÃO EXCLUSIVAMENTE “ON LINE”*¹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TRABALHO DE JABOATÃO DOS GUARARAPES , na forma da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h (horário local) com transmissão em tempo real, disponível no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site*² de responsabilidade do leiloeiro designado, em primeiro leilão,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do(s) bem(ns) abaixo especificados e penhorado(s) nos presentes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autos, a quem oferecer maior lanço. Caso não haja licitante ou dê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se indeferimento do lanço vencedor, o(s) bem(ns) será(ão)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alienado(s) em segundo leilão designado para encerar-se em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sessão virtual a ser realizada no dia 05/08/2020 no mesmo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horário acima especificado, novamente pelo maior lanço ofertado,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devendo o arrematante efetuar, com diligência, o pagamento dos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valores integrais do lanço e da comissão do leiloeiro a título de 5%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(cinco por cento) obtido sobre o valor da arrematação, na forma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normativo específico(Resolução Administrativa-026/2017) ou aquele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que vier a substituí-lo ou reformá-lo.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ROSCA TRANSPORTADORA EM INOX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304, COMPRIMENTO 3000 MM P/ 3000 KG H, EM BOM ESTADO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DE USO E COSERVAÇÃO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PINTO SOUZA , 183 - CENTRO - JABOATAO DOS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GUARARAPES - PERNAMBUCO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2890 Data da Disponibilização: Terça-feira, 26 de Maio de 2020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R$ 10.000,00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Data da Penhora: 09/01/2020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Depositário:ADEILSON FERREIRA SILVA (CPF 704041614-00)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R$ 9.101,78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GRIMALDI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2020.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