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ATOrd-0000531-56.2017.5.06.0145 AUTOR JOSE ANASTACIO DO NASCIMENTO ADVOGADO ANA CAROLINA CAVALCANTI ELIHIMAS(OAB: 26085-D/PE) ADVOGADO SANDRO DE MEDEIROS MACHADO(OAB: 27024-D/PE) RÉU CIMENTOS DO BRASIL S/A CIBRASA ADVOGADO PAULO GUSTAVO FREIRE DINIZ COSTA(OAB: 31264/PE) RÉU SOCIEDADE DE TAXI AEREO WESTON LTDA ADVOGADO SERGIO AUGUSTO MARCELINO DE ALBUQUERQUE(OAB: 11956/PE) RÉU CELULOSE E PAPEL DE PERNAMBUCO S/A- CEPASA ADVOGADO LUZICLENE MARIA MORAES MUNIZ(OAB: 17054/PE) ADVOGADO MANOELLA DUARTE COSTA E SILVA(OAB: 24057/PE) RÉU ITAUTINGA AGRO INDUSTRIAL S A ADVOGADO PEDRO CORREA GONDIM FILHO(OAB: 28442/PE) TERCEIRO INTERESSADO 8ª VARA DO TRABALHO DO RECIFE TERCEIRO INTERESSADO UNIÃO FEDERAL (PGF)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Processo....:0000531-56.2017.5.06.0145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Exequente..: JOSE ANASTACIO DO NASCIMENTO CPF: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583.551.204-00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ADVOGADO: ANA CAROLINA CAVALCANTI ELIHIMAS,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OAB/PE 26085-D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ADVOGADO: SANDRO DE MEDEIROS MACHADO, OAB/PE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27024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CEPASA CNPJ: 10.422.699/0001-31 e outros (4)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ADVOGADO: LUZICLENE MARIA MORAES MUNIZ (OAB: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PE17054) / MANOELLA COSTA E SILVA (OAB: PE24057)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TRABALHO DE JABOATÃO DOS GUARARAPES , na forma da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h (horário local) com transmissão em tempo real, disponível no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site*² de responsabilidade do leiloeiro designado, em primeiro leilão,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do(s) bem(ns) abaixo especificados e penhorado(s) nos presentes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autos, a quem oferecer maior lanço. Caso não haja licitante ou dê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se indeferimento do lanço vencedor, o(s) bem(ns) será(ão)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alienado(s) em segundo leilão designado para encerar-se em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sessão virtual a ser realizada no dia 05/08/2020 no mesmo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horário acima especificado, novamente pelo maior lanço ofertado,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devendo o arrematante efetuar, com diligência, o pagamento dos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valores integrais do lanço e da comissão do leiloeiro a título de 5%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(cinco por cento) obtido sobre o valor da arrematação, na forma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UMA IMPRESSORA FLEXOGRÁFICA DA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MARCA FEVA DE 6 (SEIS) CORES ,EM FUNCIONAMENTO E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BOM ESTADO DE CONSERVAÇÃO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2889 Data da Disponibilização: Terça-feira, 26 de Maio de 2020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PINTO SOUZA, 183 - CENTRO - JABOATAO DOS GUARARAPES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- PERNAMBUCO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R$ 800.000,00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Data da Penhora: 12/02/2020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 (CPF 704041624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00)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R$ 97.075,31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GRIMALDI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2020.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