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ATSum-0000056-32.2019.5.06.0145 AUTOR HEDECIO CAETANO DA SILVA ADVOGADO ANNY BRITO ALVES DA SILVA CAVALCANTI(OAB: 27684/PE) RÉU CELULOSE E PAPEL DE PERNAMBUCO S/A- CEPASA ADVOGADO LUZICLENE MARIA MORAES MUNIZ(OAB: 17054/PE)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Processo....:0000056-32.2019.5.06.0145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HEDECIO CAETANO DA SILVA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OAB/PE 27684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ADVOGADO: LUZICLENE MARIA MORAES MUNIZ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OAB/PE17054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PENEIRA ROTATIVA EFLUENTES DE PAPEL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2000 X 6000 MM, EM BOM ESTADO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05/12/2019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ADELSON FERREIRA SILVA (CPF 704041614-00)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R$ 38.381,38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2887 Data da Disponibilização: Terça-feira, 26 de Maio de 2020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