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ATOrd-0000008-10.2018.5.06.0145 AUTOR AMARO MIGUEL DA SILVA FILHO ADVOGADO ANA CAROLINA CAVALCANTI ELIHIMAS(OAB: 26085-D/PE) ADVOGADO SANDRO DE MEDEIROS MACHADO(OAB: 27024-D/PE) RÉU NASSAU EDITORA RADIO E TV LTDA ADVOGADO JOAQUIM EDINILSON SIQUEIRA DA SILVA(OAB: 11817-D/PE) RÉU ITAUNA AGRO PECUARIA E MECANIZACAO LTDA RÉU ITAUTINGA AGRO INDUSTRIAL S A RÉU CELULOSE E PAPEL DE PERNAMBUCO S/A- CEPASA ADVOGADO LUZICLENE MARIA MORAES MUNIZ(OAB: 17054/PE) ADVOGADO PAULO GUSTAVO FREIRE DINIZ COSTA(OAB: 31264/PE) RÉU CIMENTOS DO BRASIL S/A CIBRASA TERCEIRO INTERESSADO SKY SERVICOS DE BANDA LARGA LTDA.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Processo. ...:0000008-10.2018.5.06.0145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Exequente..:AUTOR: AMARO MIGUEL DA SILVA FILHO CPF: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043.413.984-07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ADVOGADO: ANA CAROLINA CAVALCANTI ELIHIMAS,(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OAB/PE 26085-D)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ADVOGADO: SANDRO DE MEDEIROS MACHADO,( OAB/PE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27024 )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CEPASA CNPJ ; 10.422.699/0001-31 e outros (5)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ADVOGADO ...: LUZICLENE MARIA MORAES MUNIZ (OAB/PE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17054) / PAULO GUSTAVO DINIZ COSTA (OAB/PE 31264)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TRABALHO DE JABOATÃO DOS GUARARAPES , na forma da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h (horário local) com transmissão em tempo real, disponível no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site*² de responsabilidade do leiloeiro designado, em primeiro leilão,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do(s) bem(ns) abaixo especificados e penhorado(s) nos presentes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autos, a quem oferecer maior lanço. Caso não haja licitante ou dê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se indeferimento do lanço vencedor, o(s) bem(ns) será(ão)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alienado(s) em segundo leilão designado para encerar-se em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sessão virtual a ser realizada no dia 05/08/2020 no mesmo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 da comissão do leiloeiro a título de 5%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1 (UM ) IMPRESSORA FLEXOGRÁFICA ,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MARCA FEVA DE SEIS CORES , EM FUNCIONAMENTO E BOM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ESTADO DE CONSERVAÇÃO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 GUARARAPES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R$ 800.000,00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09/01/2020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704.041.614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R$ 28.388,64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2886 Data da Disponibilização: Terça-feira, 26 de Maio de 2020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