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ATSum-0000198-36.2019.5.06.0145 AUTOR JOSE CARLOS FIGUEIROA ADVOGADO ANNY BRITO ALVES DA SILVA CAVALCANTI(OAB: 27684/PE) RÉU CELULOSE E PAPEL DE PERNAMBUCO S/A- CEPASA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Processo....:0000198-36.2019.5.06.0145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 JOSE CARLOS FIGUEIROA :CPF: 314.452.764-53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ADVOGADO: ANNY BRITO ALVES DA SILVA CAVALCANTI (OAB: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PE27684)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:-CELULOSE E PAPEL DE PERNAMBUCO S/A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 : LUZICLENE MARIA MORAES MUNIZ (OAB: PE17054)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ROSCA TRANSPORTADORA EM INOX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304 COMPRIMENTO 3000 MM KGH, EM FUNCIONAMENTO E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BOM ESTADO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SÓCRATES REGUEIRA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PINTO SOUZA , 183 , CENTRO , JABOATÃO DOS GUARARAPES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R$ 10.000,00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Data da Penhora: 05/12/2019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704.041614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R$ 28.763,12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2884 Data da Disponibilização: Terça-feira, 26 de Maio de 2020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