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ATSum-0001167-85.2018.5.06.0145 AUTOR WIBSON GOMES DA SILVA ADVOGADO ANNY BRITO ALVES DA SILVA CAVALCANTI(OAB: 27684/PE) RÉU CELULOSE E PAPEL DE PERNAMBUCO S/A- CEPASA ADVOGADO LUZICLENE MARIA MORAES MUNIZ(OAB: 17054/PE) ADVOGADO MANOELLA DUARTE COSTA E SILVA(OAB: 24057/PE) TERCEIRO INTERESSADO 8ª VARA DO TRABALHO DO RECIFE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2879 Data da Disponibilização: Terça-feira, 26 de Maio de 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COMPROVANTE DE EDITAL DE PRAÇA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 Certifico que o Edital de Praça foi emitido nesta data, a fim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de notificar Praça do Processo abaixo mencionado: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Processo....:0001167-85.2018.5.06.0145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Exequente..: WIBSON GOMES DA SILVA (CPF: 835.775.214-49)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Advogados: ANNY BRITO ALVES DA SILVA CAVALCANTI OAB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- PE27684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CEPASA (CPJ: 10.422.699/0001-31)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MUNIZ OAB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PE17054, MANOELLA DUARTE COSTA E SILVA OAB- PE24057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AERADOR LENTO NOVO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20/08/2019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704.041.614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R$ 37.250,40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