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ATSum-0001081-17.2018.5.06.0145 AUTOR MAURICEA BATISTA DAS CHAGAS ADVOGADO ANNY BRITO ALVES DA SILVA CAVALCANTI(OAB: 27684/PE) RÉU CELULOSE E PAPEL DE PERNAMBUCO S/A- CEPASA ADVOGADO LUZICLENE MARIA MORAES MUNIZ(OAB: 17054/PE) ADVOGADO MANOELLA DUARTE COSTA E SILVA(OAB: 24057/PE) TERCEIRO INTERESSADO UNIÃO FEDERAL (PGF)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COMPROVANTE DE EDITAL DE PRAÇA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Certifico que o Edital de Praça foi emitido nesta data, a fim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de notificar Praça do Processo abaixo mencionado: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Processo....:0001081-17.2018.5.06.0145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Exequente..:: MAURICEA BATISTA DAS CHAGAS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ADVOGADO: Anny Brito Alves da Silva Cavalcanti ( OAB/PE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2877 Data da Disponibilização: Terça-feira, 26 de Maio de 2020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27684 )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CEPASA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ADVOGADO :Luziclene Maria Moraes Muniz (OAB/ PE17054)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/Manoella Duarte Costa e Silva (OAB/ PE24057)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PENEIRA ROTATIVA EFLUENTES ,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PAPEL 2000X6000 MM, EM BOM ESTADO DE CONSERVAÇÃO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 GUARARAPES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R$ 180.000,00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08/01/2020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704.041.614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R$ 44.291,53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