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ATOrd-0001192-69.2016.5.06.0145 AUTOR LUIS FERNANDO DA SILVA ADVOGADO HUST FLAMMARION OMENA DE MORAIS(OAB: 36056/PE) RÉU SKY BRASIL SERVICOS LTDA ADVOGADO EMERSON LUIZ MAZZINI(OAB: 125933/RJ) RÉU MANOEL CISNEIROS LUNA ADVOGADO JORGE FELIPE DE OLIVEIRA GOMES(OAB: 1221/PE) ADVOGADO MARIZA GOMES ARAUJO ÁVILA(OAB: 27546/PE)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MANOEL CISNEIROS LUNA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Processo....:0001192-69.2016.5.06.0145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LUIS FERNANDO DA SILVA (CPF: 113.123.334-48)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Advogados: HUST FLAMMARION OMENA (OAB: PE36056)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Executado :MANOEL CISNEIROS LUNA (CPJ: 10.688.834/0001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95) / SKY BRASIL SERVIÇOS LTDA CNPJ: 72.820.822/0001-20)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Advogados: JORGE FELIPE DE OLIVEIRA GOMES OAB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PE01221, MARIZA GOMES ARAUJO ÁVILA - OAB-PE27546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Advogados: EMERSON LUIZ MAZZINI - OAB-RJ125933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2874 Data da Disponibilização: Terça-feira, 26 de Maio de 2020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87 CABOS HDMI, 1,80 , COR PRETA , NOVO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, CADA CABO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DA SOLEDADE , 34, PIEDADE ,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R$ 870,00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27/08/2019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MANOEL CISNEIROS LUNA (CPF 402.288.784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20)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R$ 934,68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