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Edital EDHPI-0002003182-2020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Processo Nº 0000996-72.2018.5.06.0002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Processo Nº 00996/2018-002-06-00.5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Exequente LUZIA MARIA NOGUEIRA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Advogado(a) YONARA MELO DE ALENCAR(OAB: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20900)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Executado HOSPITAL DE AVILA LTDA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Advogado(a) SANDRO MARZO DE LUCENA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ARAGAO(OAB: 18116)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GILBERTO OLIVEIRA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FREITAS , Juiz(íza) do Trabalho da VARA DO TRABALHO 2ª DO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RECIFE , na forma da lei, FAZ SABER a todos quantos este edital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presencial em concomitância com lances online no dia 06/04/2020 ,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às 09:00 (horário local) no auditório da Seção de Hasta Publica, sito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na AVENIDA MARECHAL MASCARENHAS DE MORAIS, 4631,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IMBIRIBEIRA, RECIFE, CEP:51150-000, com transmissão em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tempo real, disponível no site de responsabilidade do leiloeiro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designado, em primeiro leilão, do(s) bem(ns) abaixo especificados 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para o dia 20/04/2020 no mesmo local e horário acima, novamente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 garantir o lanço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com o sinal de 20% (vinte por cento) do seu valor e ainda 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pagamento da comissão do leiloeiro a titulo de 5% (cinco por cento)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obtidos sobre o valor da arrematação, no dia da Hasta Publica,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complementando o lanço em 24 horas; ou na forma determinada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pelo juízo competente. O(s) bem(ns) penhorado(s) nos presentes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autos poderá(ão) ser alienado(s) em primeira praça pelo lanço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mínimo de 40% e em segunda praça pelo lanço mínimo de 20%,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calculados sobre o valor da avaliação do(s) mesmo(s). 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presenciais ou eletrônicos, deverá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observar o dispositivo normativo específico (Resolução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 (UMA) CAMA HOSPITALAR MARCA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VALLITEC AUTOMATICA EM BOM ESTADO DE USO 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CONSERVAÇÃO . LOCAL DO BEM : AVENIDA VISCONDE DE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ALBUQUERQUE , Nº 681, MADALENA, RECIFE-PE -CEP 50610-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090. Localização do bem: AV. VISCONDE DE ALBUQUERQUE,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681, MADALENA, RECIFE, PE, CEP:50610090. Valor da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Avaliação: R$ 4.200,00. Data da Penhora: 13/12/2019. Fiel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Depositário: MARIA VIANA DE SOUZA. Valor da Execução: R$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1.417,50. Leiloeiro Oficial Designado: TANIA MARIA VON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BECKERATH GRIMALDI. Site do Leiloeiro Oficial Designado: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 Restrições à Arrematação: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SEM RESSALVAS.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