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Edital EDHPI-0331001981-2019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Processo Nº 0000778-95.2016.5.06.0331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Processo Nº 00778/2016-331-06-00.5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Exequente FLAVIA REGINA DE OLIVEIRA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SANTOS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Advogado(a) ANDRE LUIS GOMES DE MELO(OAB: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36877)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Executado CHRISTIANE SOARES COSTA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EIRELI - ME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Advogado(a) ANTONIO JACKSON DE ARAUJO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SANTOS(OAB: 20151)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RODRIGO SAMICO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CARNEIRO , Juiz(íza) do Trabalho da VARA DO TRABALHO DE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BELO JARDIM , na forma da lei, FAZ SABER a todos quantos este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edital virem, ou dele tiverem conhecimento, que o leiloeiro abaixo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indicado, devidamente autorizado por este juízo, promoverá a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alienação, por ARREMATAÇÃO PÚBLICA, na modalidade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presencial em concomitância com lances online no dia 12/11/2019 ,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às 11:00 (horário local) na cidade de BELO JARDIM, sito na RUA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GEMINIANO MACIEL, 140, CENTRO, BELO JARDIM, CEP:55150-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000, com transmissão em tempo real, disponível no site de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responsabilidade do leiloeiro designado, em primeiro leilão, do(s)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bem(ns) abaixo especificados e penhorado(s) nos presentes autos,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a quem oferecer maior lanço. Caso não haja licitante ou dê-se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indeferimento do lanço vencedor, o(s) bem(ns) será(ão) alienado(s)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em segundo leilão designado para o dia 26/11/2019 no mesmo local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e horário acima, novamente pelo maior lanço ofertado, devendo o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arrematante garantir o lanço com o sinal de 20% (vinte por cento)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do seu valor e ainda o pagamento da comissão do leiloeiro a titulo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de 5% (cinco por cento) obtidos sobre o valor da arrematação, no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dia da Hasta Publica, complementando o lanço em 24 horas; ou na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forma determinada pelo juízo competente. O(s) bem(ns)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penhorado(s) nos presentes autos poderá(ão) ser alienado(s) em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primeira praça pelo lanço mínimo de 40% e em segunda praça pelo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lanço mínimo de 20%, calculados sobre o valor da avaliação do(s)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mesmo(s). Os percentuais de lanço mínimo não vinculam ou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pressupõem o deferimento do lanço apresentado, ainda que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superem o valor estabelecido. A oferta de lanços, presenciais ou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eletrônicos, deverá observar o dispositivo normativo específico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(Resolução Administrativa-026/2017) ou aquele que vier a substituílo ou reformá-lo.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Descrição do bem: 12 MESAS RÚSTICAS, EM TRONCO DE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MADEIRA JAQUEIRA, EM RAZOÁVEL ESTADO DE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CONSERVAÇÃO, CADA UMA COM 04 CADEIRAS TAMBÉM EM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MADEIRA.. Localização do bem: RUA BENJAMIN CONSTANT SN,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0, GAMELEIRA, BELO JARDIM, PE, CEP:55153705. Valor da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Avaliação: R$ 18.000,00. Data da Penhora: 24/07/2019. Fiel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Depositário: CHRISTIANE SOARES COSTA. Valor da Execução: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R$ 11.987,21. Leiloeiro Oficial Designado: TANIA MARIA VON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BECKERATH GRIMALDI. Site do Leiloeiro Oficial Designado: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http://www.taniagrimaldileiloes.com.br. Restrições à Arrematação: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CADEIRAS NECESSITANDO MANUTEÇÃO..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ADVERTÊNCIA: Os litigantes, o cônjuge do(a) executado(a) ou os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titulares de ônus sobre os bens que não forem localizados para fins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de intimação pessoal, reputar-se-ão intimados com a publicação do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presente edital (art. 207, inc. VI, do Prov. CR No. 02/2013). O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presente edital segue assinado eletronicamente pelo(a) servidor(a)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da Secretaria da Vara abaixo identificado(a), por ordem do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Excelentíssimo(a) Senhor(a) Juiz(a) do Trabalho acima identificado.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