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Edital EDHPI-0172002621-2019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Processo Nº 0001466-49.2016.5.06.0172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Processo Nº 01466/2016-172-06-00.5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Exequente WESLEM DE ARAUJO BARAUNA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Advogado(a) Jefferson Lemos Calaça(OAB: 12873)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Executado EXPOENTE INDUSTRIA DE TUBOS E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PERFIS LTDA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Advogado(a) INALDO GERMANO DA CUNHA(OAB: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09024)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SERGIO MURILO DE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CARVALHO LINS , Juiz(íza) do Trabalho da VARA DO TRABALHO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2ª DO CABO DE SANTO AGOSTINHO , na forma da lei, FAZ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143028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2849/2019 Tribunal Regional do Trabalho da 6ª Região 4006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Data da Disponibilização: Segunda-feira, 11 de Novembro de 2019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SABER a todos quantos este edital virem, ou dele tiverem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na modalidade presencial em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concomitância com lances online no dia 11/12/2019 , às 09:00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(horário local) na cidade de CABO DE SANTO AGOSTINHO, sito na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AV. PRES. GETULIO VARGAS, 576, CENTRO, CABO DE SANTO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AGOSTINHO, CEP:54505-560, com transmissão em tempo real,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disponível no site de responsabilidade do leiloeiro designado, em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primeiro leilão, do(s) bem(ns) abaixo especificados e penhorado(s)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nos presentes autos, a quem oferecer maior lanço. Caso não haja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será(ão) alienado(s) em segundo leilão designado para o dia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18/12/2019 no mesmo local e horário acima, novamente pelo maior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lanço ofertado, devendo o arrematante garantir o lanço com o sinal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de 20% (vinte por cento) do seu valor e ainda o pagamento da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titulo de 5% (cinco por cento) obtidos sobre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o valor da arrematação, no dia da Hasta Publica, complementando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o lanço em 24 horas; ou na forma determinada pelo juízo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competente. O(s) bem(ns) penhorado(s) nos presentes autos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poderá(ão) ser alienado(s) em primeira praça pelo lanço mínimo de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40% e em segunda praça pelo lanço mínimo de 20%, calculados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sobre o valor da avaliação do(s) mesmo(s). Os percentuais de lanço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mínimo não vinculam ou pressupõem o deferimento do lanço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apresentado, ainda que superem o valor estabelecido. A oferta de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lanços, presenciais ou eletrônicos, deverá observar o dispositivo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aquele que vier a substituí-lo ou reformá-lo.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01 (UMA) CUBA PARA GALVANIZAÇÃO (0413-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CJ) FABRICADA PELA USIMINAS MECÂNCIA SA, ADQUIRIDA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EM 03/10/2014, SEM PLACA DE IDENTIFICAÇÃO, FORA DE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OPERAÇÃO, COM FERRUGEM NAS FACES EXTERNAS.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VIA VII, 354, DISTRITO INDUSTRIAL, CABO,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PE, CEP:54590000. Valor da Avaliação: R$ 235.000,00. Data da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Penhora: 14/11/2018. Fiel Depositário: FREDERICO RUFINO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FERREIRA. Valor da Execução: R$ 13.608,00. Leiloeiro Oficial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Designado: TANIA MARIA VON BECKERATH GRIMALDI. Site do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http://www.taniagrimaldileiloes.com.br.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 PENHORA COMUM NOS PROCESSOS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0001465-64.2016.5.06.0172, 0001496-93.2016.5.06.0172, 0001487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-28.2016.5.06.0171, 0000523-35.2016.5.06.0171, 0000585-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75.2016.5.06.0171, 0001484-73.2016.5.06.0171, 0001274-39.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 O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presente edital segue assinado eletronicamente pelo(a) servidor(a)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da Secretaria da Vara abaixo identificado(a), por ordem do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Excelentíssimo(a) Senhor(a) Juiz(a) do Trabalho acima identificado.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