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Processo Nº ATOrd-0001980-52.2017.5.06.0144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AUTOR FERNANDO ANTONIO DE OLIVEIRA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ADVOGADO ANA CAROLINA CAVALCANTI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ELIHIMAS(OAB: 26085-D/PE)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ADVOGADO SANDRO DE MEDEIROS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MACHADO(OAB: 27024-D/PE)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RÉU ITAUNA AGRO PECÚARIA E AGRO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INDUSTRIAL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ADVOGADO SERGIO AUGUSTO MARCELINO DE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ALBUQUERQUE(OAB: 11956/PE)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RÉU CELULOSE E PAPEL DE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PERNAMBUCO S/A- CEPASA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ADVOGADO MANOELLA DUARTE COSTA 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SILVA(OAB: 24057/PE)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RÉU ITAUTINGA AGRO INDUSTRIAL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ADVOGADO TAMARA ROBERTA SCHUBERT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BINDA(OAB: 1314-A/PE)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RÉU CIMENTOS DO BRASIL S/A CIBRASA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ADVOGADO PAULO GUSTAVO FREIRE DINIZ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COSTA(OAB: 31264/PE)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RÉU NASSAU EDITORA RADIO E TV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LTDA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ADVOGADO JOAQUIM EDINILSON SIQUEIRA DA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SILVA(OAB: 11817-D/PE)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TERCEIRO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INTERESSADO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SERTAO GESSO INDUSTRIA 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COMERCIO LTDA - EPP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- CELULOSE E PAPEL DE PERNAMBUCO S/A- CEPASA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4ª Vara do Trabalho de Jaboatão-PE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Estrada da Batalha, 1200/1238, Jardim Jordão, JABOATAO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DOS GUARARAPES - PE - CEP: 54315-570, Telefone: (81)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33410919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Atendimento ao público das 8 às 14 horas.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PROCESSO Nº 0001980-52.2017.5.06.0144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CLASSE: AÇÃO TRABALHISTA - RITO ORDINÁRIO (985)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AUTOR: FERNANDO ANTONIO DE OLIVEIRA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RÉU : CELULOSE E PAPEL DE PERNAMBUCO S/A- CEPASA 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outros (4)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Código para aferir autenticidade deste caderno: 140789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2817/2019 Tribunal Regional do Trabalho da 6ª Região 3857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Data da Disponibilização: Quarta-feira, 25 de Setembro de 2019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O(A) Exmo(a) Juiz(a) da 4ª Vara do Trabalho de Jaboatão-PE,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Dr. MATHEUS RIBEIRO REZENDE, no uso das atribuições que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lhe confere a lei, torna público pelo presente Edital de Hasta,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com prazo de 20 (vinte) dias, na forma da lei, com fulcro nos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ATOS CSJT/GP/SG 156/13 E 139/14 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FAZ SABER a todos quantos este edital virem, ou dele tiverem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conhecimento , que o leiloeiro , por ARREMATAÇÃO PÚBLICA 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na modalidade presencial em concomitância com lançes online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no dia 24/10/2019 às 08:00 horas , na sala dos leiloeiros do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Fórum da Justiça do Trabalho de Jaboatão - PE , com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transmissão em tempo real, disponível no site de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responsabilidade do leiloeiro ( abaixo especificado ), em praça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única do(s) bem(ns) penhorados nos presentes autos, a quem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oferecer maior lanço. O arrematante deverá garantir o lanço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com o sinal de 20%(vinte por cento) do seu valor e ainda o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pagamento da comissão do leiloeiro a titulo de 5% ( cinco por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cento) obtidos sobre o valor da arrematação , no dia da Hasta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Pública, complementando o lanço em 24 horas.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Caso não haja licitante ou dê-se indeferimento do lanço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vencedor, o(s) bem(ns) será(ao) alienado(s) em segundo leilão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designado para o dia 07/11/2019 às 08:00 horas, no mesmo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local 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Fixa-se desde já como lanço mínimo para a arrematação os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seguintes percentuais: 40% (quarenta por cento) em 1ª praça e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20% (vinte por cento) em 2ª praça, para os bens móveis; 50%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(cinquenta por cento) em 1ª praça e 30% (trinta por cento) em 2ª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praça, para os bens imóveis avaliados em até R$ 1 (um) milhão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de reais; e 60% (sessenta por cento) em 1ª praça e 40%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(quarenta por cento) em 2ª praça, para os bens imóveis cuja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avaliação seja superior a R$ 1 (um) milhão de reais. Ressalte-se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que o lanço mínimo não implicará no deferimento automático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da arrematação.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normativo específico ( Resolução Administrativa -026-2017 ou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Descrição do bem: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UMA IMPRESSORA FLEXOGRÁFICA DA MARCA FEVA, DE 06 (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SEIS) CORES , EM FUNCIONAMENTO E BOM ESTADO DE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CONSERVAÇÃO 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Localização do bem: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JABOATÃO - PE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Valor da avaliação: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R$ 700.000,00 ( SETECENTOS MIL REAIS 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Data da avaliação: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16 DE ABRIL DE 2019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Valor da execução: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R$ 116.774,18 ( CENTO E DEZESSEIS MIL SETECENTOS E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SETENTA E QUATRO REAIS E DEZOITO CENTAVOS).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Código para aferir autenticidade deste caderno: 140789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2817/2019 Tribunal Regional do Trabalho da 6ª Região 3858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Data da Disponibilização: Quarta-feira, 25 de Setembro de 2019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Fiel depositário: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ADEILSON FERREIRA SILVA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Hasta pública a ser realizada pelo leiloeiro oficial NOME DO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LEILOEIRO, TÂNIA MARIA VONBECKERATH GRIMALDI, que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perceberá comissão de 5% do produto da arrematação,a cargo do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arrematante, conforme art. 280 do Provimento nº 02/2013 da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Corregedoria do E. Tribunal Regional da 6ª Região.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Os documentos do processo poderão ser acessados pelo site deste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Tribunal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(http://pje.trt6.jus.br/primeirograu/Processo/ConsultaDocument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o/listView.seam), devendo-se utilizar o navegador mozilla Firefox a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partir da versão 10.2 ou superior (http://www.mozilla.org/ptBR/firefox/fx/),digitando-se a(s) chave(s) abaixo: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