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Edital EDHPI-0142002421-2019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Processo Nº 0000972-17.2015.5.06.0142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Processo Nº 00972/2015-142-06-00.5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Exequente NILSON FERREIRA DOS SANTOS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Advogado(a) GIZENE PESSOA DE OLIVEIRA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SILVA(OAB: 12924)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Executado GUARANY GRAFICA E EDITORA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LTDA - ME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O(A) Excelentíssimo(a) Senhor(a) Doutor(a) MAYARD DE FRANÇA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SABOYA ALBUQUERQUE , Juiz(íza) do Trabalho da VARA DO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TRABALHO 2ª DO JABOATAO DOS GUARARAPES , na forma da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lei, FAZ SABER a todos quantos este edital virem, ou dele tiverem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conhecimento, que o leiloeiro abaixo indicado, devidamente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autorizado por este juízo, promoverá a alienação, por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ARREMATAÇÃO PÚBLICA, na modalidade presencial em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concomitância com lances online no dia 21/11/2019 , às 08:30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(horário local) na cidade de JABOATÃO DOS GUARARAPES, sito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na ESTRADA DA BATALHA, 1285, PRAZERES, JABOATÃO DOS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GUARARAPES, CEP:54315-570, com transmissão em tempo real,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disponível no site de responsabilidade do leiloeiro designado, em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primeiro leilão, do(s) bem(ns) abaixo especificados e penhorado(s)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nos presentes autos, a quem oferecer maior lanço. Caso não haja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licitante ou dê-se indeferimento do lanço vencedor, o(s) bem(ns)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será(ão) alienado(s) em segundo leilão designado para o dia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28/11/2019 no mesmo local e horário acima, novamente pelo maior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lanço ofertado, devendo o arrematante garantir o lanço com o sinal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de 20% (vinte por cento) do seu valor e ainda o pagamento da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comissão do leiloeiro a titulo de 5% (cinco por cento) obtidos sobre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o valor da arrematação, no dia da Hasta Publica, complementando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o lanço em 24 horas; ou na forma determinada pelo juízo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competente. O(s) bem(ns) penhorado(s) nos presentes autos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poderá(ão) ser alienado(s) em primeira praça pelo lanço mínimo de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40% e em segunda praça pelo lanço mínimo de 20%, calculados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sobre o valor da avaliação do(s) mesmo(s). Os percentuais de lanço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 xml:space="preserve">mínimo não vinculam ou pressupõem o deferimento do lanço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  <w:t xml:space="preserve">apresentado, ainda que superem o valor estabelecido. A oferta de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  <w:t xml:space="preserve">lanços, presenciais ou eletrônicos, deverá observar o dispositivo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  <w:t xml:space="preserve">Código para aferir autenticidade deste caderno: 141840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  <w:t xml:space="preserve">2833/2019 Tribunal Regional do Trabalho da 6ª Região 3684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  <w:t xml:space="preserve">Data da Disponibilização: Quinta-feira, 17 de Outubro de 2019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  <w:t xml:space="preserve">normativo específico (Resolução Administrativa-026/2017) ou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  <w:t xml:space="preserve">aquele que vier a substituí-lo ou reformá-lo.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  <w:t xml:space="preserve">Descrição do bem: 01 APARELHO DE AR CONDICIONADO</w:t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  <w:t xml:space="preserve">MARCA SAMSUNG, SPIT, 24.000 BTU, MODELO</w:t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  <w:t xml:space="preserve">ASV24PSBTNXAZ, 220V, EM BOM ESTADO DE CONSERVAÇÃO</w:t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  <w:t xml:space="preserve">E FUNCIONANDO.. Localização do bem: ESTRADA DA BATALHA,</w:t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  <w:t xml:space="preserve">1867, A - PRAZERES, JABOATAO, PE, CEP:54315010. Valor da</w:t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  <w:t xml:space="preserve">Avaliação: R$ 1.600,00. Data da Penhora: 02/07/2019. Fiel</w:t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  <w:t xml:space="preserve">Depositário: ROSANA DA COSTA MONTEIRO. Valor da Execução:</w:t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  <w:t xml:space="preserve">R$ 1.180,70. Leiloeiro Oficial Designado: TANIA MARIA VON</w:t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  <w:t xml:space="preserve">BECKERATH GRIMALDI. Site do Leiloeiro Oficial Designado:</w:t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  <w:t xml:space="preserve">http://www.taniagrimaldileiloes.com.br.</w:t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  <w:t xml:space="preserve">ADVERTÊNCIA: Os litigantes, o cônjuge do(a) executado(a) ou os</w:t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  <w:t xml:space="preserve">titulares de ônus sobre os bens que não forem localizados para fins</w:t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  <w:t xml:space="preserve">de intimação pessoal, reputar-se-ão intimados com a publicação do</w:t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  <w:t xml:space="preserve">presente edital (art. 207, inc. VI, do Prov. CR No. 02/2013). O</w:t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  <w:t xml:space="preserve">presente edital segue assinado eletronicamente pelo(a) servidor(a)</w:t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  <w:t xml:space="preserve">da Secretaria da Vara abaixo identificado(a), por ordem do</w:t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  <w:t xml:space="preserve">Excelentíssimo(a) Senhor(a) Juiz(a) do Trabalho acima identificado.</w:t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