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1ª Vara do Trabalho de Jaboatão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Processo Nº ATOrd-0000186-39.2016.5.06.0141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AUTOR JOSE ALAN KARDECK AMARANTE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SILVA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ADVOGADO FLAVIO FLORENCIO DAS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NEVES(OAB: 36032/PE)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RÉU CELULOSE E PAPEL DE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PERNAMBUCO S/A- CEPASA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ADVOGADO LUZICLENE MARIA MORAES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MUNIZ(OAB: 17054/PE)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- JOSE ALAN KARDECK AMARANTE SILVA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1ª Vara do Trabalho de Jaboatão-PE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Estrada da Batalha, 1280, TÉRREO, Jardim Jordão, JABOATAO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DOS GUARARAPES - PE - CEP: 54315-570, Telefone: (81)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33418963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Atendimento ao público das 8 às 14 horas.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PROCESSO Nº 0000186-39.2016.5.06.0141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CLASSE: AÇÃO TRABALHISTA - RITO ORDINÁRIO (985)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AUTOR: JOSE ALAN KARDECK AMARANTE SILVA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RÉU : CELULOSE E PAPEL DE PERNAMBUCO S/A- CEPASA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O(A) Exmo(a) Juiz(a) da 1ª Vara do Trabalho de Jaboatão-PE, Dr(a)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EVELLYNE FERRAZ CORREIA, no uso das atribuições que lhe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confere a lei, torna público pelo presente Edital de Hasta, com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prazo de 20(vinte) dias, a realização de praças nos dias 28/11/2019,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05/12/2019 e 12/12/2019, sempre a partir das 08:00h, na Estrada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 Batalha, n 1280, Prazeres, Jaboatão-PE, em que será(ão)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levado(s) a público pregão de venda e arrematação dos bens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penhorados nos autos do processo em epígrafe e abaixo descritos,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devendo o arrematante garantir o lance com sinal de 20% do seu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valor.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Descrição do bem: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* UM ROLAMENTO 23244 EIKC3 - NOVO - NOTA FISCAL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N.000.006.302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Localização do bem: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*NA EXECUTADA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Valor de avaliação: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* R$ 8.900,00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Código para aferir autenticidade deste caderno: 141840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2833/2019 Tribunal Regional do Trabalho da 6ª Região 3588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Data da Disponibilização: Quinta-feira, 17 de Outubro de 2019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Data de avaliação: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20/AGOSTO/2019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Valor da execução: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* R$ 6.205,91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Fiel depositário: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* ADEILSON FERREIRA SILVA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Em atenção às diretrizes instituídas no NCPC, em especial 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disposto nos artigos 885, 886 e 891, fica estabelecido o valor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mínimo de R$ 2.670,00 para arrematação, considerando vil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lance inferior à referida quantia.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Hasta pública a ser realizada pelo(a) leiloeiro(a) oficial TÂNIA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GRIMALDI, que perceberá comissão de 5% do produto da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arrematação,a cargo do arrematante, conforme art. 280 do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Provimento nº 02/2013 da Corregedoria do E. Tribunal Regional da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6ª Região.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