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Edital EDHPI-0015002381-2019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Processo Nº 0000503-03.2011.5.06.0015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Processo Nº 00503/2011-015-06-00.5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Exequente EDNA MARIA DOS SANTOS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Advogado(a) WILANDIA SILVANIA DA SILVA(OAB: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PE026518)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Executado HJL SERVICOS LTDA - ME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O(A) Excelentíssimo(a) Senhor(a) Doutor(a) EDGAR GURJÃO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WANDERLEY NETO , Juiz(íza) do Trabalho da VARA DO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TRABALHO 15ª DO RECIFE , na forma da lei, FAZ SABER a todos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quantos este edital virem, ou dele tiverem conhecimento, que 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leiloeiro abaixo indicado, devidamente autorizado por este juízo,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promoverá a alienação, por ARREMATAÇÃO PÚBLICA, na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modalidade presencial em concomitância com lances online no dia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25/11/2019 , às 09:00 (horário local) no auditório da Seção de Hasta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Publica, sito na AVENIDA MARECHAL MASCARENHAS DE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MORAIS, 4631, IMBIRIBEIRA, RECIFE, CEP:51150-000, com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transmissão em tempo real, disponível no site de responsabilidade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do leiloeiro designado, em primeiro leilão, do(s) bem(ns) abaixo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especificados e penhorado(s) nos presentes autos, a quem oferecer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maior lanço. Caso não haja licitante ou dê-se indeferimento do lanço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designado para o dia 09/12/2019 no mesmo local e horário acima,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novamente pelo maior lanço ofertado, devendo o arrematante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garantir o lanço com o sinal de 20% (vinte por cento) do seu valor 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ainda o pagamento da comissão do leiloeiro a titulo de 5% (cinco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por cento) obtidos sobre o valor da arrematação, no dia da Hasta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Publica, complementando o lanço em 24 horas; ou na forma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determinada pelo juízo competente. O(s) bem(ns) penhorado(s) nos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presentes autos poderá(ão) ser alienado(s) em primeira praça pelo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lanço mínimo de 40% e em segunda praça pelo lanço mínimo de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20%, calculados sobre o valor da avaliação do(s) mesmo(s). Os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percentuais de lanço mínimo não vinculam ou pressupõem o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deferimento do lanço apresentado, ainda que superem o valor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estabelecido. A oferta de lanços, presenciais ou eletrônicos, deverá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observar o dispositivo normativo específico (Resolução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Administrativa-026/2017) ou aquele que vier a substituí-lo ou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reformá-lo.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Descrição do bem: 01 (UMA) MÁQUINA DE CROSSOUVER LION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FITNESS MODELO: PREMIUM, USADA, EM BOM ESTADO DE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CONSERVAÇÃO. - R$ 9.000,00. 01 (UMA) MÁQUINA DE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AGACHAMENTO HORIZONTAL, MODELO: PREMIUM, USADA,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EM BOM ESTADO DE CONSERVAÇÃO. - R$ 8.000,00. 01 (UMA)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MÁQUINA DE TRÍCEPS LINHA LION FITNESS, MODELO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PREMIUM, USADA, BOM ESTADO DE CONSERVAÇÃO. - R$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6.500,00. RESSALVAS: CONFORME INFORMAÇÕES DO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DEPOSITÁRIO, OS EQUIPAMENTOS SOFREM MANUTENÇÃO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PERIÓDICA (MENSAL).. Localização do bem: AV. CAXANGÁ,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5542, VÁRZEA, RECIFE, PE, CEP:50740000. Valor da Avaliação: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R$ 23.500,00. Data da Penhora: 08/08/2018. Fiel Depositário: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HUGO CAVALCANTI MARTINS. Valor da Execução: R$ 21.855,13.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Leiloeiro Oficial Designado: TANIA MARIA VON BECKERATH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GRIMALDI. Site do Leiloeiro Oficial Designado: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http://www.taniagrimaldileiloes.com.br.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presente edital (art. 207, inc. VI, do Prov. CR No. 02/2013). O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presente edital segue assinado eletronicamente pelo(a) servidor(a)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da Secretaria da Vara abaixo identificado(a), por ordem do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Excelentíssimo(a) Senhor(a) Juiz(a) do Trabalho acima identificado.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