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ATOrd-0001894-84.2017.5.06.0143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JOSE EDILIO DE LIMA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SANDRO DE MEDEIROS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MACHADO(OAB: 27024-D/PE)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ADVOGADO ANA CAROLINA CAVALCANTI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ELIHIMAS(OAB: 26085-D/PE)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RÉU NASSAU EDITORA RADIO E TV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LTDA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ADVOGADO JOAQUIM EDINILSON SIQUEIRA DA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SILVA(OAB: 11817-D/PE)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RÉU ITAUNA AGRO PECUÁRIA 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MECANIZAÇÃO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ADVOGADO Dreicy Fraga de Souza Lima(OAB: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26751-D/PE)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RÉU MAMOABA AGRO PASTORIL SA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ADVOGADO MIRTES ADALGISA VIÉGAS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SANTOS(OAB: 27925/PE)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RÉU CIMENTOS DO BRASIL S/A CIBRASA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 PAULO GUSTAVO FREIRE DINIZ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COSTA(OAB: 31264/PE)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RÉU INDUSTRIA DE SACOS DE PAPEL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SA ISAPEL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RÉU ITAJUBARA S/A ACUCAR E ALCOOL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ADVOGADO SERGIO AUGUSTO MARCELINO 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ALBUQUERQUE(OAB: 11956/PE)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- JOSE EDILIO DE LIMA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Código para aferir autenticidade deste caderno: 140398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2811/2019 Tribunal Regional do Trabalho da 6ª Região 5116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Data da Disponibilização: Terça-feira, 17 de Setembro de 2019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Processo: 0001894-84.2017.5.06.0143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Exequente: JOSE EDILIO DE LIMA, CPF: 403.934.614-91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Advogado(s) do exequente: SANDRO DE MEDEIROS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MACHADO, OAB: PE27024-D ANA CAROLINA CAVALCANTI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ELIHIMAS, OAB: PE26085-D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Executada: CELULOSE E PAPEL DE PERNAMBUCO S/ACEPASA, CPJ: 10.422.699/0001-31; ITAUNA AGRO PECUÁRIA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 MECANIZAÇÃO; MAMOABA AGRO PASTORIL SA , CPJ: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11.026.333/0001-06; CIMENTOS DO BRASIL S/A CIBRASA, CPJ: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04.898.425/0001-10; INDUSTRIA DE SACOS DE PAPEL SA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ISAPEL, CPJ: 10.815.306/0001-50; ITAJUBARA S/A ACUCAR 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ALCOOL, CPJ: 06.110.605/0001-11; NASSAU EDITORA RADIO 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TV LTDA, CPJ: 27.065.150/0001-30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Advogado(a) da executada: Manoella Duarte Costa e Silva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(ADVOGADO)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presencial em concomitância com lances online no dia 17/10/2019,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designado para o dia 24/10/2019, no mesmo local às 08:30h,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UM FLOTADOR DE ÁGUA CIRCULAR COM REATOR DE AR UDS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-600, MODELO DELTA PURGE NG 140,EM FUNCIONAMENTO 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BOM ESTADO DE CONSERVAÇÃO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Localização do bem: ENDEREÇO DA RECLAMADA.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Valor da Avaliação: R$ 982.500,00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Data da Avaliação: 03/09/2019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Fiel Depositário: ADEILSON FERREIRA DA SILVA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Código para aferir autenticidade deste caderno: 140398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2811/2019 Tribunal Regional do Trabalho da 6ª Região 5117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Data da Disponibilização: Terça-feira, 17 de Setembro de 2019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Valor da Execução: R$ 215.996,34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GUARARAPES/PE-PE, 17 de setembro de 2019. Documento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