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Edital EDHPI-0015002281-2019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Processo Nº 0108400-76.2000.5.06.0015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Processo Nº 108400/2000-015-06-00.5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Exequente MARCO ANTONIO BEZERRA DE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LIMA CUNHA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Advogado(a) João BoscoVieira de Melo Filho(OAB: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08823)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Executado CARLOS OTHONY VASCONCELOS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RORIZ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O(A) Excelentíssimo(a) Senhor(a) Doutor(a) ANA MARIA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APARECIDA DE FREITAS , Juiz(íza) do Trabalho da VARA DO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TRABALHO 15ª DO RECIFE , na forma da lei, FAZ SABER a todos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promoverá a alienação, por ARREMATAÇÃO PÚBLICA, na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modalidade presencial em concomitância com lances online no dia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25/11/2019 , às 8:30 (horário local) no auditório da Seção de Hasta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Publica, sito na AVENIDA MARECHAL MASCARENHAS 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MORAIS, 4631, IMBIRIBEIRA, RECIFE, CEP:51150-000, com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transmissão em tempo real, disponível no site de responsabilidade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designado para o dia 09/12/2019 no mesmo local e horário acima,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Publica, complementando o lanço em 24 horas; ou na forma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determinada pelo juízo competente. O(s) bem(ns) penhorado(s) nos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lanço mínimo de 50% e em segunda praça pelo lanço mínimo de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30%, calculados sobre o valor da avaliação do(s) mesmo(s). Os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estabelecido. A oferta de lanços, presenciais ou eletrônicos, deverá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observar o dispositivo normativo específico (Resolução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Descrição do bem: APARTAMENTO Nº 101, LOCALIZADO NO 1º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PAVIMENTO TIPO ELEVADO DO EDIFÍCIO PEDRA DO SÍTIO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Código para aferir autenticidade deste caderno: 141615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2829/2019 Tribunal Regional do Trabalho da 6ª Região 2246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Data da Disponibilização: Sexta-feira, 11 de Outubro de 2019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DAS ROSEIRAS, SITUADO NA AV. SANTOS DUMONT, 815,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ROSARINHO, RECIFE-PE, COMPOSTO DE UMA SALA DE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ESTAR/JANTAR, VARANDA, CIRCULAÇÃO, DOIS QUARTOS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SOCIAIS, UM QUARTO SUÍTE, UM WC SOCIAL, UM CLOSET,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COZINHA, ÁREA DE SERVIÇO E DUAS VAGAS DE GARAGEM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 22,00m2, TOTALIZANDO UMA ÁREA DE 148,26m2 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CORRESPONDENDO-LHE UMA FRAÇÃO IDEAL DE 0,02 DE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TERRENO PRÓPRIO ONDE ASSENTA O EDIFÍCIO.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RESSALVAS: O IMÓVEL ESTÁ GRAVADO COM HIPOTECA EM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FAVOR DA CAIXA ECONÔMICA FEDERAL.. Localização do bem: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AV. SANTOS DUMONT, 815, ROSARINHO, RECIFE, PE,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CEP:50050500. Valor da Avaliação: R$ 700.000,00. Data da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Penhora: 09/08/2018. Fiel Depositário: CARLOS OTHONY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VASCONCELOS RORIZ. Valor da Execução: R$ 20.135,22.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GRIMALDI. Site do Leiloeiro Oficial Designado: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http://www.taniagrimaldileiloes.com.br. O arrematante/alienante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ficará isento dos créditos tributários relativos a impostos cujo fato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gerador seja a propriedade, o domínio útil ou a posse de bens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imóveis, e bem assim os relativos a taxas pela prestação de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serviços referentes a tais bens, ou a contribuições de melhoria da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União, Estados e Municípios e Distrito Federal, salvo quando conste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do título a prova de sua quitação, seja em hasta pública ou em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alienação particular, estejam ou não inscritos na dívida ativa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(art.130, parágrafo único do CTN), em conformidade com o art. 78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 Consolidação dos Provimentos da Corregedoria Geral da Justica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do Trabalho.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