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ATOrd-0001205-40.2017.5.06.0143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ROSEMEIRE CANUTO GENUINO 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SILVA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 JOAO HENRIQUE DA SILVA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MARINHO(OAB: 18950-D/PE)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RÉU CARLOS ROBERTO DE BARROS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CAMPELO - ME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ADVOGADO DENILSON FERREIRA 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SILVA(OAB: 36607/PE)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- ROSEMEIRE CANUTO GENUINO DA SILVA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Processo: 0001205-40.2017.5.06.0143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Exequente: ROSEMEIRE CANUTO GENUINO DA SILVA, CPF: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724.938.874-68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Advogado(s) do exequente: JOAO HENRIQUE DA SILVA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MARINHO, OAB: PE18950-D - CPF: 864.221.974-20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Executada: CARLOS ROBERTO DE BARROS CAMPELO - ME,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CPJ: 35.339.597/0001-88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Advogado(a) da executada:Denilson Ferreira da Silva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Código para aferir autenticidade deste caderno: 141407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2826/2019 Tribunal Regional do Trabalho da 6ª Região 6195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Data da Disponibilização: Terça-feira, 08 de Outubro de 2019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2(DOIS) SOFÁS FEITOS COM NAPA PRETA,COM PÉS DE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MADEIRA,COM DOIS ASSENTOS CADA UNIDADE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EM RAZOÁVEL ESTADO DE CONSERVAÇÃO., AVALIADO EM R$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600,00.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2(DUAS) CADEIRAS FEITA COM NAPA PRETA ,TENDO AS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DUAS ,BRAÇOS COM ESTRUTURA EM AÇO,EM BOM ESTADO.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AVALIADAS EM R$ 400,00.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1(UMA) TV MARCA SAMSUNG COM TELA PLANA TENDO "43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POLEGADAS" EM BOM ESTADO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AVALIADA EM R$ 1.100,00.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70(SETENTA) CARTEIRAS ESCOLARES, EM RAZOÁVEL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ESTADO,COMPOSTA CADA DE UMA MESINHA DE SUPERFÍCIE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 ESPAÇO PARA MATERIAL ESCOLAR NA COR VERDE FEITA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EM PLÁSTICO COM ESTRUTURA DE FERRO AVALIADAS EM R4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8.400,00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-2(DOIS) AR CONDICIONADO TIPO SPLIT, MARCA CÔNSUL EM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BOM ESTADO, AVALIADO AS DUAS UNIDADE EM R$ 1.800,00.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15(QUINZE) CADEIRAS COM UM ASSENTO CADA,EM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PLÁSTICO BRANCO, SEM BRAÇOS E EM BOM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ESTADO,AVALIADAS EM R$ 900,00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-24(VINTE E QUATRO) MESAS DE EDUCAÇÃO INFANTIL,EM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PLÁSTICO E ESTRUTURA DE FERRO,RAZOÁVEL ESTADO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AVALIADAS EM 1.441,00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-ARMÁRIO EM ALUMÍNIO,COM 16 COMPARTIMENTO,EM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RAZOÁVEL ESTADO AVALIADO EM R$ 300,00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Localização do bem: ENDEREÇO DA RECLAMADA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Valor da Avaliação: R$ 14.940,00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Data da Avaliação: 26/09/2019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Fiel Depositário: KLISTHINE ALBUQUERQUE DE LIMA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Valor da Execução: R$ 34.927,62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Código para aferir autenticidade deste caderno: 141407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2826/2019 Tribunal Regional do Trabalho da 6ª Região 6196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Data da Disponibilização: Terça-feira, 08 de Outubro de 2019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GUARARAPES/PE-PE, 08 de outubro de 2019. Documento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