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ATOrd-0000153-72.2018.5.06.0143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AUTOR JARDAS ANDRE DE LIMA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ADVOGADO JULIO GUSTAVO DE ALENCAR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SAMPAIO(OAB: 45728/PE)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RÉU GONCALO GONZAGA FABRICACAO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 MONTAGENS INDUSTRIAIS EIRELI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RÉU GONCALO GONZAGA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TERCEIRO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INTERESSADO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CARTÓRIO EDUARDO MALTA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- JARDAS ANDRE DE LIMA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Código para aferir autenticidade deste caderno: 140099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2807/2019 Tribunal Regional do Trabalho da 6ª Região 3722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Data da Disponibilização: Quarta-feira, 11 de Setembro de 2019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Processo: 0000153-72.2018.5.06.0143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Exequente: JARDAS ANDRE DE LIMA, CPF: 041.760.324-05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Advogado(s) do exequente: JULIO GUSTAVO DE ALENCAR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SAMPAIO, OAB: PE45728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Executada: GONCALO GONZAGA FABRICACAO 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MONTAGENS INDUSTRIAIS EIRELI, CPJ: 09.611.115/0001-97;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GONCALO GONZAGA, CPF: 314.827.241-20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presencial em concomitância com lances online no dia 17/10/2019,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às 08:30h (horário local) no auditório de Hasta Pública, localizado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designado para o dia 24/10/2019, no mesmo local às 08:30h,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LOTE DE TERRENO PRÓPRIO SOB O Nº 22, DA QUADRA F, DO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LOTEAMENTO NOSSA SENHORA DE FÁTIMA, EM BARRA DE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JANGADA, DESTE MUNICÍPIO, MEDINDO 11.50m DE FRENTE 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FUNDO;POR 19,00m DO LADO DIREITO,18,50m DO LADO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ESQUERDO, COM ÁREA TOTAL DE 215,62m², LIMITANDO-SE A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FRENTE COM A RUA PROJETADA; DO LADO DIREITO COM O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LOTE Nº 21; DO LADO ESQUERDO COM O LOTE 23; E PELOS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FUNDOS COM O LOTE 10 E 11,TODOS DA MESMA QUADRA 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LOTEAMENTO,FICA DO LADO PAR, DISTANTE 68,00m, DA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ESQUINA MAIS PRÓXIMA, TODO MURADO, COM PORTÕES DE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FERRO NA ENTRADA, EM SEU INTERIOR UM GALPÃO COM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COBERTURA EM TELHA BRASILIT.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Localização do bem: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Valor da Avaliação: R$ 160.000,00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Código para aferir autenticidade deste caderno: 140099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2807/2019 Tribunal Regional do Trabalho da 6ª Região 3723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Data da Disponibilização: Quarta-feira, 11 de Setembro de 2019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Data da Avaliação: 01/07/2019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Fiel Depositário: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Valor da Execução: R$ 49.653,54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GUARARAPES/PE-PE, 11 de setembro de 2019. Documento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nominado.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